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22B6AC1A" w:rsidR="00E6394B" w:rsidRPr="004E35AF"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C41202">
        <w:rPr>
          <w:rFonts w:eastAsia="Times New Roman"/>
          <w:b/>
          <w:sz w:val="24"/>
          <w:lang w:val="en-GB" w:eastAsia="ja-JP"/>
        </w:rPr>
        <w:t xml:space="preserve">3GPP TSG-RAN WG2 </w:t>
      </w:r>
      <w:r w:rsidR="00C41202">
        <w:rPr>
          <w:rFonts w:eastAsia="Times New Roman"/>
          <w:b/>
          <w:sz w:val="24"/>
          <w:lang w:val="en-GB" w:eastAsia="ja-JP"/>
        </w:rPr>
        <w:t xml:space="preserve">Meeting </w:t>
      </w:r>
      <w:r w:rsidRPr="00C41202">
        <w:rPr>
          <w:rFonts w:eastAsia="Times New Roman"/>
          <w:b/>
          <w:sz w:val="24"/>
          <w:lang w:val="en-GB" w:eastAsia="ja-JP"/>
        </w:rPr>
        <w:t>#1</w:t>
      </w:r>
      <w:r w:rsidR="00C41202">
        <w:rPr>
          <w:rFonts w:eastAsia="Times New Roman"/>
          <w:b/>
          <w:sz w:val="24"/>
          <w:lang w:val="en-GB" w:eastAsia="ja-JP"/>
        </w:rPr>
        <w:t>21</w:t>
      </w:r>
      <w:r w:rsidRPr="00C41202">
        <w:rPr>
          <w:rFonts w:eastAsia="Times New Roman"/>
          <w:b/>
          <w:sz w:val="24"/>
          <w:lang w:val="en-GB" w:eastAsia="ja-JP"/>
        </w:rPr>
        <w:t xml:space="preserve"> </w:t>
      </w:r>
      <w:r w:rsidRPr="00C41202">
        <w:rPr>
          <w:rFonts w:eastAsia="Times New Roman"/>
          <w:b/>
          <w:sz w:val="24"/>
          <w:lang w:val="en-GB" w:eastAsia="ja-JP"/>
        </w:rPr>
        <w:tab/>
      </w:r>
      <w:r w:rsidR="004E35AF" w:rsidRPr="004E35AF">
        <w:rPr>
          <w:rFonts w:eastAsia="Times New Roman"/>
          <w:b/>
          <w:sz w:val="24"/>
          <w:lang w:val="en-GB" w:eastAsia="ja-JP"/>
        </w:rPr>
        <w:t>R2-2300360</w:t>
      </w:r>
      <w:bookmarkStart w:id="0" w:name="_GoBack"/>
      <w:bookmarkEnd w:id="0"/>
    </w:p>
    <w:p w14:paraId="6F655869" w14:textId="429C45CA" w:rsidR="004D566E" w:rsidRDefault="00561329"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r w:rsidRPr="00561329">
        <w:rPr>
          <w:rFonts w:eastAsia="Times New Roman"/>
          <w:b/>
          <w:sz w:val="24"/>
          <w:lang w:val="en-GB" w:eastAsia="ja-JP"/>
        </w:rPr>
        <w:t>Athens, Greece</w:t>
      </w:r>
      <w:r w:rsidR="000B5863" w:rsidRPr="00C41202">
        <w:rPr>
          <w:rFonts w:eastAsia="Times New Roman"/>
          <w:b/>
          <w:sz w:val="24"/>
          <w:lang w:val="en-GB" w:eastAsia="ja-JP"/>
        </w:rPr>
        <w:t xml:space="preserve">, </w:t>
      </w:r>
      <w:r>
        <w:rPr>
          <w:rFonts w:eastAsia="Times New Roman"/>
          <w:b/>
          <w:sz w:val="24"/>
          <w:lang w:val="en-GB" w:eastAsia="ja-JP"/>
        </w:rPr>
        <w:t>Feb.</w:t>
      </w:r>
      <w:r w:rsidRPr="00561329">
        <w:rPr>
          <w:rFonts w:eastAsia="Times New Roman"/>
          <w:b/>
          <w:sz w:val="24"/>
          <w:lang w:val="en-GB" w:eastAsia="ja-JP"/>
        </w:rPr>
        <w:t xml:space="preserve"> </w:t>
      </w:r>
      <w:r>
        <w:rPr>
          <w:rFonts w:eastAsia="Times New Roman"/>
          <w:b/>
          <w:sz w:val="24"/>
          <w:lang w:val="en-GB" w:eastAsia="ja-JP"/>
        </w:rPr>
        <w:t>27</w:t>
      </w:r>
      <w:r w:rsidRPr="00561329">
        <w:rPr>
          <w:rFonts w:eastAsia="Times New Roman"/>
          <w:b/>
          <w:sz w:val="24"/>
          <w:vertAlign w:val="superscript"/>
          <w:lang w:val="en-GB" w:eastAsia="ja-JP"/>
        </w:rPr>
        <w:t>th</w:t>
      </w:r>
      <w:r w:rsidR="000B5863" w:rsidRPr="00C41202">
        <w:rPr>
          <w:rFonts w:eastAsia="Times New Roman"/>
          <w:b/>
          <w:sz w:val="24"/>
          <w:lang w:val="en-GB" w:eastAsia="ja-JP"/>
        </w:rPr>
        <w:t xml:space="preserve"> </w:t>
      </w:r>
      <w:r w:rsidR="00E6394B" w:rsidRPr="00C41202">
        <w:rPr>
          <w:rFonts w:eastAsia="Times New Roman"/>
          <w:b/>
          <w:sz w:val="24"/>
          <w:lang w:val="en-GB" w:eastAsia="ja-JP"/>
        </w:rPr>
        <w:t>–</w:t>
      </w:r>
      <w:r>
        <w:rPr>
          <w:rFonts w:eastAsia="Times New Roman"/>
          <w:b/>
          <w:sz w:val="24"/>
          <w:lang w:val="en-GB" w:eastAsia="ja-JP"/>
        </w:rPr>
        <w:t>Mar. 3</w:t>
      </w:r>
      <w:r w:rsidRPr="00561329">
        <w:rPr>
          <w:rFonts w:eastAsia="Times New Roman"/>
          <w:b/>
          <w:sz w:val="24"/>
          <w:vertAlign w:val="superscript"/>
          <w:lang w:val="en-GB" w:eastAsia="ja-JP"/>
        </w:rPr>
        <w:t>rd</w:t>
      </w:r>
      <w:r>
        <w:rPr>
          <w:rFonts w:eastAsia="Times New Roman"/>
          <w:b/>
          <w:sz w:val="24"/>
          <w:lang w:val="en-GB" w:eastAsia="ja-JP"/>
        </w:rPr>
        <w:t>, 2023</w:t>
      </w:r>
    </w:p>
    <w:p w14:paraId="2BE3F19B" w14:textId="77777777" w:rsidR="00C41202" w:rsidRPr="00C41202"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207BD718"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ab/>
      </w:r>
      <w:r w:rsidR="00F93EB2" w:rsidRPr="00F93EB2">
        <w:rPr>
          <w:rFonts w:eastAsia="Times New Roman" w:cs="Times New Roman"/>
          <w:kern w:val="0"/>
          <w:sz w:val="24"/>
          <w:szCs w:val="20"/>
          <w:lang w:val="en-GB" w:eastAsia="en-US"/>
        </w:rPr>
        <w:t>BAP open issue</w:t>
      </w:r>
      <w:r w:rsidR="00157E3B">
        <w:rPr>
          <w:rFonts w:eastAsia="Times New Roman" w:cs="Times New Roman"/>
          <w:kern w:val="0"/>
          <w:sz w:val="24"/>
          <w:szCs w:val="20"/>
          <w:lang w:val="en-GB" w:eastAsia="en-US"/>
        </w:rPr>
        <w:t>s</w:t>
      </w:r>
      <w:r w:rsidR="00F93EB2" w:rsidRPr="00F93EB2">
        <w:rPr>
          <w:rFonts w:eastAsia="Times New Roman" w:cs="Times New Roman"/>
          <w:kern w:val="0"/>
          <w:sz w:val="24"/>
          <w:szCs w:val="20"/>
          <w:lang w:val="en-GB" w:eastAsia="en-US"/>
        </w:rPr>
        <w:t xml:space="preserve"> due to the DU migration (two logical DUs) in mobile IAB</w:t>
      </w:r>
    </w:p>
    <w:p w14:paraId="080360EB" w14:textId="5CED5AEB"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00B934AC">
        <w:rPr>
          <w:rFonts w:eastAsia="Times New Roman" w:cs="Times New Roman"/>
          <w:kern w:val="0"/>
          <w:sz w:val="24"/>
          <w:szCs w:val="20"/>
          <w:lang w:val="en-GB" w:eastAsia="en-US"/>
        </w:rPr>
        <w:t>Huawe</w:t>
      </w:r>
      <w:r w:rsidR="00B934AC" w:rsidRPr="00580E27">
        <w:rPr>
          <w:rFonts w:eastAsia="Times New Roman" w:cs="Times New Roman"/>
          <w:kern w:val="0"/>
          <w:sz w:val="24"/>
          <w:szCs w:val="20"/>
          <w:lang w:val="en-GB" w:eastAsia="en-US"/>
        </w:rPr>
        <w:t>i</w:t>
      </w:r>
      <w:r w:rsidR="00F93EB2" w:rsidRPr="00580E27">
        <w:rPr>
          <w:rFonts w:eastAsia="Times New Roman" w:cs="Times New Roman"/>
          <w:kern w:val="0"/>
          <w:sz w:val="24"/>
          <w:szCs w:val="20"/>
          <w:lang w:val="en-GB" w:eastAsia="en-US"/>
        </w:rPr>
        <w:t>,</w:t>
      </w:r>
      <w:r w:rsidR="00B83F40">
        <w:rPr>
          <w:rFonts w:eastAsia="Times New Roman" w:cs="Times New Roman"/>
          <w:kern w:val="0"/>
          <w:sz w:val="24"/>
          <w:szCs w:val="20"/>
          <w:lang w:val="en-GB" w:eastAsia="en-US"/>
        </w:rPr>
        <w:t xml:space="preserve"> </w:t>
      </w:r>
      <w:r w:rsidR="00580E27" w:rsidRPr="00580E27">
        <w:rPr>
          <w:rFonts w:eastAsia="Times New Roman" w:cs="Times New Roman"/>
          <w:kern w:val="0"/>
          <w:sz w:val="24"/>
          <w:szCs w:val="20"/>
          <w:lang w:val="en-GB" w:eastAsia="en-US"/>
        </w:rPr>
        <w:t>Qualcomm Incorporate</w:t>
      </w:r>
      <w:r w:rsidR="00580E27">
        <w:rPr>
          <w:rFonts w:eastAsia="Times New Roman" w:cs="Times New Roman"/>
          <w:kern w:val="0"/>
          <w:sz w:val="24"/>
          <w:szCs w:val="20"/>
          <w:lang w:val="en-GB" w:eastAsia="en-US"/>
        </w:rPr>
        <w:t xml:space="preserve">, </w:t>
      </w:r>
      <w:r w:rsidR="00580E27" w:rsidRPr="00580E27">
        <w:rPr>
          <w:rFonts w:eastAsia="Times New Roman" w:cs="Times New Roman"/>
          <w:kern w:val="0"/>
          <w:sz w:val="24"/>
          <w:szCs w:val="20"/>
          <w:lang w:val="en-GB" w:eastAsia="en-US"/>
        </w:rPr>
        <w:t>LG Electronic</w:t>
      </w:r>
      <w:r w:rsidR="00580E27" w:rsidRPr="00ED2D5A">
        <w:rPr>
          <w:rFonts w:eastAsia="Times New Roman" w:cs="Times New Roman"/>
          <w:kern w:val="0"/>
          <w:sz w:val="24"/>
          <w:szCs w:val="20"/>
          <w:lang w:val="en-GB" w:eastAsia="en-US"/>
        </w:rPr>
        <w:t>s,</w:t>
      </w:r>
      <w:r w:rsidR="00F93EB2" w:rsidRPr="00ED2D5A">
        <w:rPr>
          <w:rFonts w:eastAsia="Times New Roman" w:cs="Times New Roman"/>
          <w:kern w:val="0"/>
          <w:sz w:val="24"/>
          <w:szCs w:val="20"/>
          <w:lang w:val="en-GB" w:eastAsia="en-US"/>
        </w:rPr>
        <w:t xml:space="preserve"> </w:t>
      </w:r>
      <w:r w:rsidR="00ED2D5A" w:rsidRPr="00D96242">
        <w:rPr>
          <w:rFonts w:eastAsia="Times New Roman" w:cs="Times New Roman"/>
          <w:kern w:val="0"/>
          <w:sz w:val="24"/>
          <w:szCs w:val="20"/>
          <w:lang w:val="en-GB" w:eastAsia="en-US"/>
        </w:rPr>
        <w:t>Intel Corporation,</w:t>
      </w:r>
      <w:r w:rsidR="00C51128" w:rsidRPr="00D96242">
        <w:rPr>
          <w:rFonts w:eastAsia="Times New Roman" w:cs="Times New Roman"/>
          <w:kern w:val="0"/>
          <w:sz w:val="24"/>
          <w:szCs w:val="20"/>
          <w:lang w:val="en-GB" w:eastAsia="en-US"/>
        </w:rPr>
        <w:t xml:space="preserve"> Lenovo,</w:t>
      </w:r>
      <w:r w:rsidR="00D96242" w:rsidRPr="00D96242">
        <w:rPr>
          <w:rFonts w:eastAsia="Times New Roman" w:cs="Times New Roman"/>
          <w:kern w:val="0"/>
          <w:sz w:val="24"/>
          <w:szCs w:val="20"/>
          <w:lang w:val="en-GB" w:eastAsia="en-US"/>
        </w:rPr>
        <w:t xml:space="preserve"> Apple,</w:t>
      </w:r>
      <w:r w:rsidR="00ED2D5A" w:rsidRPr="00D96242">
        <w:rPr>
          <w:rFonts w:eastAsia="Times New Roman" w:cs="Times New Roman"/>
          <w:kern w:val="0"/>
          <w:sz w:val="24"/>
          <w:szCs w:val="20"/>
          <w:lang w:val="en-GB" w:eastAsia="en-US"/>
        </w:rPr>
        <w:t xml:space="preserve"> </w:t>
      </w:r>
      <w:r w:rsidR="00C4284F" w:rsidRPr="00C4284F">
        <w:rPr>
          <w:rFonts w:eastAsia="Times New Roman" w:cs="Times New Roman"/>
          <w:kern w:val="0"/>
          <w:sz w:val="24"/>
          <w:szCs w:val="20"/>
          <w:lang w:val="en-GB" w:eastAsia="en-US"/>
        </w:rPr>
        <w:t>ZTE</w:t>
      </w:r>
      <w:r w:rsidR="00C4284F">
        <w:rPr>
          <w:rFonts w:eastAsia="Times New Roman" w:cs="Times New Roman"/>
          <w:kern w:val="0"/>
          <w:sz w:val="24"/>
          <w:szCs w:val="20"/>
          <w:lang w:val="en-GB" w:eastAsia="en-US"/>
        </w:rPr>
        <w:t xml:space="preserve">, vivo, </w:t>
      </w:r>
      <w:r w:rsidR="00B30264" w:rsidRPr="00B30264">
        <w:rPr>
          <w:rFonts w:eastAsia="Times New Roman" w:cs="Times New Roman"/>
          <w:kern w:val="0"/>
          <w:sz w:val="24"/>
          <w:szCs w:val="20"/>
          <w:lang w:val="en-GB" w:eastAsia="en-US"/>
        </w:rPr>
        <w:t>Nokia, Nokia Shanghai Bell</w:t>
      </w:r>
      <w:r w:rsidR="00B30264">
        <w:rPr>
          <w:rFonts w:eastAsia="Times New Roman" w:cs="Times New Roman"/>
          <w:kern w:val="0"/>
          <w:sz w:val="24"/>
          <w:szCs w:val="20"/>
          <w:lang w:val="en-GB" w:eastAsia="en-US"/>
        </w:rPr>
        <w:t xml:space="preserve">, </w:t>
      </w:r>
      <w:r w:rsidR="00E6732B" w:rsidRPr="00E6732B">
        <w:rPr>
          <w:rFonts w:eastAsia="Times New Roman" w:cs="Times New Roman"/>
          <w:kern w:val="0"/>
          <w:sz w:val="24"/>
          <w:szCs w:val="20"/>
          <w:lang w:val="en-GB" w:eastAsia="en-US"/>
        </w:rPr>
        <w:t>Ericsson</w:t>
      </w:r>
      <w:r w:rsidR="001F3FE9">
        <w:rPr>
          <w:rFonts w:eastAsia="Times New Roman" w:cs="Times New Roman"/>
          <w:kern w:val="0"/>
          <w:sz w:val="24"/>
          <w:szCs w:val="20"/>
          <w:lang w:val="en-GB" w:eastAsia="en-US"/>
        </w:rPr>
        <w:t xml:space="preserve">, </w:t>
      </w:r>
      <w:r w:rsidR="005D7DB1" w:rsidRPr="005D7DB1">
        <w:rPr>
          <w:rFonts w:eastAsia="Times New Roman" w:cs="Times New Roman"/>
          <w:kern w:val="0"/>
          <w:sz w:val="24"/>
          <w:szCs w:val="20"/>
          <w:lang w:val="en-GB" w:eastAsia="en-US"/>
        </w:rPr>
        <w:t>Samsung</w:t>
      </w:r>
    </w:p>
    <w:p w14:paraId="1DFDA943" w14:textId="5918BA7F"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8.</w:t>
      </w:r>
      <w:r w:rsidR="00014587" w:rsidRPr="00C41202">
        <w:rPr>
          <w:rFonts w:eastAsia="Times New Roman" w:cs="Times New Roman"/>
          <w:kern w:val="0"/>
          <w:sz w:val="24"/>
          <w:szCs w:val="20"/>
          <w:lang w:val="en-GB" w:eastAsia="en-US"/>
        </w:rPr>
        <w:t>1</w:t>
      </w:r>
      <w:r w:rsidR="00365C41" w:rsidRPr="00C41202">
        <w:rPr>
          <w:rFonts w:eastAsia="Times New Roman" w:cs="Times New Roman"/>
          <w:kern w:val="0"/>
          <w:sz w:val="24"/>
          <w:szCs w:val="20"/>
          <w:lang w:val="en-GB" w:eastAsia="en-US"/>
        </w:rPr>
        <w:t>2</w:t>
      </w:r>
      <w:r w:rsidRPr="00C41202">
        <w:rPr>
          <w:rFonts w:eastAsia="Times New Roman" w:cs="Times New Roman"/>
          <w:kern w:val="0"/>
          <w:sz w:val="24"/>
          <w:szCs w:val="20"/>
          <w:lang w:val="en-GB" w:eastAsia="en-US"/>
        </w:rPr>
        <w:t>.</w:t>
      </w:r>
      <w:r w:rsidR="00BE7BEC">
        <w:rPr>
          <w:rFonts w:eastAsia="Times New Roman" w:cs="Times New Roman"/>
          <w:kern w:val="0"/>
          <w:sz w:val="24"/>
          <w:szCs w:val="20"/>
          <w:lang w:val="en-GB" w:eastAsia="en-US"/>
        </w:rPr>
        <w:t>3</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1"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1"/>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14FA8F4C" w14:textId="64AC9D1D" w:rsidR="00FB00AD" w:rsidRDefault="00FB00AD" w:rsidP="00AE245B">
      <w:pPr>
        <w:spacing w:after="60"/>
        <w:rPr>
          <w:rFonts w:eastAsia="Symbol"/>
          <w:sz w:val="20"/>
          <w:szCs w:val="20"/>
        </w:rPr>
      </w:pPr>
      <w:r>
        <w:rPr>
          <w:rFonts w:eastAsia="Symbol" w:hint="eastAsia"/>
          <w:sz w:val="20"/>
          <w:szCs w:val="20"/>
        </w:rPr>
        <w:t>I</w:t>
      </w:r>
      <w:r>
        <w:rPr>
          <w:rFonts w:eastAsia="Symbol"/>
          <w:sz w:val="20"/>
          <w:szCs w:val="20"/>
        </w:rPr>
        <w:t>n previous RAN3 meetings, following agreements are made on the two logical DUs supporting for mobile IAB.</w:t>
      </w:r>
    </w:p>
    <w:p w14:paraId="517F3CC3" w14:textId="0651A9BF" w:rsidR="00FB00AD" w:rsidRPr="00FB00AD" w:rsidRDefault="00FB00AD" w:rsidP="00FB00AD">
      <w:pPr>
        <w:spacing w:after="60"/>
        <w:rPr>
          <w:rFonts w:eastAsia="Symbol"/>
          <w:sz w:val="20"/>
          <w:szCs w:val="20"/>
        </w:rPr>
      </w:pPr>
      <w:r>
        <w:rPr>
          <w:rFonts w:eastAsia="Symbol"/>
          <w:sz w:val="20"/>
          <w:szCs w:val="20"/>
        </w:rPr>
        <w:t>RAN3#</w:t>
      </w:r>
      <w:r w:rsidRPr="00FB00AD">
        <w:rPr>
          <w:rFonts w:eastAsia="Symbol"/>
          <w:sz w:val="20"/>
          <w:szCs w:val="20"/>
        </w:rPr>
        <w:t>117</w:t>
      </w:r>
      <w:r>
        <w:rPr>
          <w:rFonts w:eastAsia="Symbol"/>
          <w:sz w:val="20"/>
          <w:szCs w:val="20"/>
        </w:rPr>
        <w:t xml:space="preserve"> meeting</w:t>
      </w:r>
    </w:p>
    <w:p w14:paraId="194ADCBC" w14:textId="36D9982B" w:rsidR="00FB00AD" w:rsidRPr="00FB00AD" w:rsidRDefault="00FB00AD" w:rsidP="00FB00AD">
      <w:pPr>
        <w:pStyle w:val="af4"/>
        <w:numPr>
          <w:ilvl w:val="0"/>
          <w:numId w:val="17"/>
        </w:numPr>
        <w:spacing w:after="60"/>
        <w:ind w:leftChars="0"/>
        <w:rPr>
          <w:rFonts w:eastAsia="Symbol"/>
          <w:sz w:val="20"/>
          <w:szCs w:val="20"/>
        </w:rPr>
      </w:pPr>
      <w:r w:rsidRPr="00FB00AD">
        <w:rPr>
          <w:rFonts w:eastAsia="Symbol"/>
          <w:sz w:val="20"/>
          <w:szCs w:val="20"/>
        </w:rPr>
        <w:t>For DU migration cases, to execute the handover of the served UEs, the mobile IAB-node concurrently supports two logical mobile IAB-DUs, which have F1AP associations with the source CU and the target CU, respectively.</w:t>
      </w:r>
    </w:p>
    <w:p w14:paraId="3D6AA613" w14:textId="37A797D9" w:rsidR="00FB00AD" w:rsidRPr="00FB00AD" w:rsidRDefault="00FB00AD" w:rsidP="00FB00AD">
      <w:pPr>
        <w:spacing w:after="60"/>
        <w:rPr>
          <w:rFonts w:eastAsia="Symbol"/>
          <w:sz w:val="20"/>
          <w:szCs w:val="20"/>
        </w:rPr>
      </w:pPr>
      <w:r>
        <w:rPr>
          <w:rFonts w:eastAsia="Symbol"/>
          <w:sz w:val="20"/>
          <w:szCs w:val="20"/>
        </w:rPr>
        <w:t>RAN3#</w:t>
      </w:r>
      <w:r w:rsidRPr="00FB00AD">
        <w:rPr>
          <w:rFonts w:eastAsia="Symbol"/>
          <w:sz w:val="20"/>
          <w:szCs w:val="20"/>
        </w:rPr>
        <w:t>117</w:t>
      </w:r>
      <w:r>
        <w:rPr>
          <w:rFonts w:eastAsia="Symbol"/>
          <w:sz w:val="20"/>
          <w:szCs w:val="20"/>
        </w:rPr>
        <w:t>-bis meeting</w:t>
      </w:r>
    </w:p>
    <w:p w14:paraId="4EAF1855" w14:textId="54AF7094" w:rsidR="00FB00AD" w:rsidRPr="00FB00AD" w:rsidRDefault="00FB00AD" w:rsidP="00FB00AD">
      <w:pPr>
        <w:pStyle w:val="af4"/>
        <w:numPr>
          <w:ilvl w:val="0"/>
          <w:numId w:val="17"/>
        </w:numPr>
        <w:spacing w:after="60"/>
        <w:ind w:leftChars="0"/>
        <w:rPr>
          <w:rFonts w:eastAsia="Symbol"/>
          <w:sz w:val="20"/>
          <w:szCs w:val="20"/>
        </w:rPr>
      </w:pPr>
      <w:r w:rsidRPr="00FB00AD">
        <w:rPr>
          <w:rFonts w:eastAsia="Symbol"/>
          <w:sz w:val="20"/>
          <w:szCs w:val="20"/>
        </w:rPr>
        <w:t xml:space="preserve">As the baseline, F1 establishment and configuration of the new logical DU follows legacy procedures. </w:t>
      </w:r>
    </w:p>
    <w:p w14:paraId="33792777" w14:textId="03ED9AB1" w:rsidR="00FB00AD" w:rsidRPr="00FB00AD" w:rsidRDefault="00FB00AD" w:rsidP="00FB00AD">
      <w:pPr>
        <w:spacing w:after="60"/>
        <w:rPr>
          <w:rFonts w:eastAsia="Symbol"/>
          <w:sz w:val="20"/>
          <w:szCs w:val="20"/>
        </w:rPr>
      </w:pPr>
      <w:r>
        <w:rPr>
          <w:rFonts w:eastAsia="Symbol"/>
          <w:sz w:val="20"/>
          <w:szCs w:val="20"/>
        </w:rPr>
        <w:t>RAN3#118 meeting</w:t>
      </w:r>
    </w:p>
    <w:p w14:paraId="4D14511B" w14:textId="4D542987" w:rsidR="00FB00AD" w:rsidRPr="00FB00AD" w:rsidRDefault="00FB00AD" w:rsidP="00FB00AD">
      <w:pPr>
        <w:pStyle w:val="af4"/>
        <w:numPr>
          <w:ilvl w:val="0"/>
          <w:numId w:val="17"/>
        </w:numPr>
        <w:spacing w:after="60"/>
        <w:ind w:leftChars="0"/>
        <w:rPr>
          <w:rFonts w:eastAsia="Symbol"/>
          <w:sz w:val="20"/>
          <w:szCs w:val="20"/>
          <w:lang w:val="en-US"/>
        </w:rPr>
      </w:pPr>
      <w:r w:rsidRPr="00FB00AD">
        <w:rPr>
          <w:rFonts w:eastAsia="Symbol"/>
          <w:sz w:val="20"/>
          <w:szCs w:val="20"/>
        </w:rPr>
        <w:t>WA: The mIAB-MT and its co-located mIAB-DU can be handed over/migrated to different donor CUs. This WA is subject to validation that the impact involved is affordable.</w:t>
      </w:r>
    </w:p>
    <w:p w14:paraId="14256677" w14:textId="4CB3526F" w:rsidR="00AE245B" w:rsidRPr="007D59D8" w:rsidRDefault="00AE245B" w:rsidP="00AE245B">
      <w:pPr>
        <w:spacing w:after="60"/>
        <w:rPr>
          <w:sz w:val="20"/>
          <w:szCs w:val="20"/>
        </w:rPr>
      </w:pPr>
      <w:r w:rsidRPr="007D59D8">
        <w:rPr>
          <w:sz w:val="20"/>
          <w:szCs w:val="20"/>
        </w:rPr>
        <w:t xml:space="preserve">This contribution mainly focuses on the remaining </w:t>
      </w:r>
      <w:r w:rsidR="002B5DED">
        <w:rPr>
          <w:sz w:val="20"/>
          <w:szCs w:val="20"/>
        </w:rPr>
        <w:t xml:space="preserve">BAP open </w:t>
      </w:r>
      <w:r w:rsidRPr="007D59D8">
        <w:rPr>
          <w:sz w:val="20"/>
          <w:szCs w:val="20"/>
        </w:rPr>
        <w:t xml:space="preserve">issues </w:t>
      </w:r>
      <w:r w:rsidR="002B5DED">
        <w:rPr>
          <w:sz w:val="20"/>
          <w:szCs w:val="20"/>
        </w:rPr>
        <w:t>due t</w:t>
      </w:r>
      <w:r w:rsidR="002B5DED" w:rsidRPr="002B5DED">
        <w:rPr>
          <w:sz w:val="20"/>
          <w:szCs w:val="20"/>
        </w:rPr>
        <w:t>o the DU migration (two logical DUs) in R18 mobile IAB</w:t>
      </w:r>
      <w:r w:rsidRPr="007D59D8">
        <w:rPr>
          <w:sz w:val="20"/>
          <w:szCs w:val="20"/>
        </w:rPr>
        <w:t>.</w:t>
      </w:r>
    </w:p>
    <w:p w14:paraId="47083E6A" w14:textId="731EBF93" w:rsidR="00ED7BC8" w:rsidRPr="007D59D8" w:rsidRDefault="003122EC"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17AA1DA2" w14:textId="18BEC744" w:rsidR="00CC3AC0" w:rsidRDefault="002B5DED" w:rsidP="00CC3AC0">
      <w:pPr>
        <w:widowControl/>
        <w:spacing w:beforeLines="50" w:before="120"/>
      </w:pPr>
      <w:r w:rsidRPr="002B5DED">
        <w:rPr>
          <w:rFonts w:eastAsia="宋体" w:cs="Times New Roman"/>
          <w:kern w:val="0"/>
          <w:sz w:val="20"/>
          <w:szCs w:val="20"/>
          <w:lang w:val="en-GB"/>
        </w:rPr>
        <w:t>Based on the latest RAN3 discussion/agreemen</w:t>
      </w:r>
      <w:r>
        <w:rPr>
          <w:rFonts w:eastAsia="宋体" w:cs="Times New Roman"/>
          <w:kern w:val="0"/>
          <w:sz w:val="20"/>
          <w:szCs w:val="20"/>
          <w:lang w:val="en-GB"/>
        </w:rPr>
        <w:t>t, we have the following scenario in mobile IAB</w:t>
      </w:r>
      <w:r w:rsidR="00CC3AC0">
        <w:rPr>
          <w:rFonts w:eastAsia="宋体" w:cs="Times New Roman"/>
          <w:kern w:val="0"/>
          <w:sz w:val="20"/>
          <w:szCs w:val="20"/>
          <w:lang w:val="en-GB"/>
        </w:rPr>
        <w:t xml:space="preserve">: </w:t>
      </w:r>
      <w:r w:rsidRPr="002B5DED">
        <w:rPr>
          <w:rFonts w:eastAsia="宋体" w:cs="Times New Roman"/>
          <w:kern w:val="0"/>
          <w:sz w:val="20"/>
          <w:szCs w:val="20"/>
          <w:lang w:val="en-GB"/>
        </w:rPr>
        <w:t>There are two logical DUs during the DU migration, which may coexist during a period.</w:t>
      </w:r>
      <w:r w:rsidR="00CC3AC0">
        <w:rPr>
          <w:rFonts w:eastAsia="宋体" w:cs="Times New Roman"/>
          <w:kern w:val="0"/>
          <w:sz w:val="20"/>
          <w:szCs w:val="20"/>
          <w:lang w:val="en-GB"/>
        </w:rPr>
        <w:t xml:space="preserve"> </w:t>
      </w:r>
      <w:r w:rsidR="00CC3AC0">
        <w:rPr>
          <w:highlight w:val="yellow"/>
        </w:rPr>
        <w:t>The two logical DU</w:t>
      </w:r>
      <w:r w:rsidR="00CC3AC0">
        <w:t xml:space="preserve">s may have F1 transmission with its own donor CUs </w:t>
      </w:r>
      <w:r w:rsidR="00CC3AC0">
        <w:rPr>
          <w:highlight w:val="yellow"/>
        </w:rPr>
        <w:t>simultaneously</w:t>
      </w:r>
      <w:r w:rsidR="00CC3AC0">
        <w:t xml:space="preserve"> over the mobile </w:t>
      </w:r>
      <w:r w:rsidR="002D096D">
        <w:t>IAB-MT’s single link connection</w:t>
      </w:r>
      <w:r w:rsidR="00CC3AC0">
        <w:t xml:space="preserve"> (also see below figure)</w:t>
      </w:r>
      <w:r w:rsidR="002D096D">
        <w:t>.</w:t>
      </w:r>
    </w:p>
    <w:p w14:paraId="0F80FBDC" w14:textId="77777777" w:rsidR="00CC3AC0" w:rsidRDefault="00CC3AC0" w:rsidP="00CC3AC0">
      <w:pPr>
        <w:widowControl/>
        <w:numPr>
          <w:ilvl w:val="1"/>
          <w:numId w:val="18"/>
        </w:numPr>
        <w:spacing w:beforeLines="50" w:before="120"/>
      </w:pPr>
      <w:r>
        <w:t xml:space="preserve">The target logical DU’s F1AP setup related message (target DU </w:t>
      </w:r>
      <w:r>
        <w:rPr>
          <w:rFonts w:ascii="Wingdings" w:hAnsi="Wingdings"/>
        </w:rPr>
        <w:t></w:t>
      </w:r>
      <w:r>
        <w:t xml:space="preserve"> its donor CU), and</w:t>
      </w:r>
    </w:p>
    <w:p w14:paraId="624AE39D" w14:textId="77777777" w:rsidR="00CC3AC0" w:rsidRDefault="00CC3AC0" w:rsidP="00CC3AC0">
      <w:pPr>
        <w:widowControl/>
        <w:numPr>
          <w:ilvl w:val="1"/>
          <w:numId w:val="18"/>
        </w:numPr>
        <w:spacing w:beforeLines="50" w:before="120"/>
      </w:pPr>
      <w:r>
        <w:t xml:space="preserve">The UEs’ HO command message sending over source logical DU (source DU </w:t>
      </w:r>
      <w:r>
        <w:rPr>
          <w:rFonts w:ascii="Wingdings" w:hAnsi="Wingdings"/>
        </w:rPr>
        <w:t></w:t>
      </w:r>
      <w:r>
        <w:t xml:space="preserve"> its donor CU)</w:t>
      </w:r>
    </w:p>
    <w:p w14:paraId="166E3FF2" w14:textId="21FAA4B8" w:rsidR="002B5DED" w:rsidRPr="00CC3AC0" w:rsidRDefault="00CC3AC0" w:rsidP="00CC3AC0">
      <w:pPr>
        <w:widowControl/>
        <w:spacing w:after="180"/>
        <w:jc w:val="center"/>
        <w:rPr>
          <w:rFonts w:eastAsia="宋体" w:cs="Times New Roman"/>
          <w:kern w:val="0"/>
          <w:sz w:val="20"/>
          <w:szCs w:val="20"/>
        </w:rPr>
      </w:pPr>
      <w:r>
        <w:rPr>
          <w:noProof/>
        </w:rPr>
        <w:drawing>
          <wp:inline distT="0" distB="0" distL="0" distR="0" wp14:anchorId="278DDDFE" wp14:editId="6D48A303">
            <wp:extent cx="3539172" cy="1873679"/>
            <wp:effectExtent l="0" t="0" r="0" b="0"/>
            <wp:docPr id="1" name="图片 1" descr="full mig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ll migration"/>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572536" cy="1891342"/>
                    </a:xfrm>
                    <a:prstGeom prst="rect">
                      <a:avLst/>
                    </a:prstGeom>
                    <a:noFill/>
                    <a:ln>
                      <a:noFill/>
                    </a:ln>
                  </pic:spPr>
                </pic:pic>
              </a:graphicData>
            </a:graphic>
          </wp:inline>
        </w:drawing>
      </w:r>
    </w:p>
    <w:p w14:paraId="6EA9F27F" w14:textId="3FEBE9C8" w:rsidR="007D59D8" w:rsidRDefault="007D59D8" w:rsidP="007D59D8">
      <w:pPr>
        <w:pStyle w:val="2"/>
        <w:rPr>
          <w:rFonts w:ascii="Times New Roman" w:hAnsi="Times New Roman"/>
        </w:rPr>
      </w:pPr>
      <w:r w:rsidRPr="007D59D8">
        <w:rPr>
          <w:rFonts w:ascii="Times New Roman" w:hAnsi="Times New Roman"/>
        </w:rPr>
        <w:t xml:space="preserve">2.1 </w:t>
      </w:r>
      <w:r w:rsidR="00B934AC">
        <w:rPr>
          <w:rFonts w:ascii="Times New Roman" w:hAnsi="Times New Roman"/>
        </w:rPr>
        <w:t>Issue 1: Upstream handling at BAP of mobile IAB-MT</w:t>
      </w:r>
      <w:r w:rsidR="00CC3AC0">
        <w:rPr>
          <w:rFonts w:ascii="Times New Roman" w:hAnsi="Times New Roman"/>
        </w:rPr>
        <w:t xml:space="preserve"> (Case 1)</w:t>
      </w:r>
    </w:p>
    <w:p w14:paraId="35CE64B1" w14:textId="021C38A1" w:rsidR="007D59D8" w:rsidRDefault="00B934AC" w:rsidP="007D59D8">
      <w:pPr>
        <w:pStyle w:val="21"/>
        <w:rPr>
          <w:rFonts w:ascii="Times New Roman" w:eastAsiaTheme="minorEastAsia" w:hAnsi="Times New Roman"/>
          <w:sz w:val="28"/>
          <w:szCs w:val="28"/>
          <w:lang w:eastAsia="zh-CN"/>
        </w:rPr>
      </w:pPr>
      <w:r>
        <w:rPr>
          <w:rFonts w:ascii="Times New Roman" w:eastAsiaTheme="minorEastAsia" w:hAnsi="Times New Roman"/>
          <w:sz w:val="28"/>
          <w:szCs w:val="28"/>
          <w:lang w:eastAsia="zh-CN"/>
        </w:rPr>
        <w:t>2.1a</w:t>
      </w:r>
      <w:r w:rsidR="007D59D8">
        <w:rPr>
          <w:rFonts w:ascii="Times New Roman" w:eastAsiaTheme="minorEastAsia" w:hAnsi="Times New Roman"/>
          <w:sz w:val="28"/>
          <w:szCs w:val="28"/>
          <w:lang w:eastAsia="zh-CN"/>
        </w:rPr>
        <w:t xml:space="preserve"> </w:t>
      </w:r>
      <w:r>
        <w:rPr>
          <w:rFonts w:ascii="Times New Roman" w:eastAsiaTheme="minorEastAsia" w:hAnsi="Times New Roman"/>
          <w:sz w:val="28"/>
          <w:szCs w:val="28"/>
          <w:lang w:eastAsia="zh-CN"/>
        </w:rPr>
        <w:t>Default BAP configuration</w:t>
      </w:r>
    </w:p>
    <w:p w14:paraId="32B77347" w14:textId="48F63FF4" w:rsidR="00CC3AC0" w:rsidRDefault="00CC3AC0" w:rsidP="00B934AC">
      <w:pPr>
        <w:widowControl/>
        <w:spacing w:after="180"/>
        <w:jc w:val="left"/>
        <w:rPr>
          <w:rFonts w:eastAsia="宋体" w:cs="Times New Roman"/>
          <w:kern w:val="0"/>
          <w:sz w:val="20"/>
          <w:szCs w:val="20"/>
          <w:lang w:val="en-GB"/>
        </w:rPr>
      </w:pPr>
      <w:r>
        <w:rPr>
          <w:rFonts w:eastAsia="宋体" w:cs="Times New Roman" w:hint="eastAsia"/>
          <w:kern w:val="0"/>
          <w:sz w:val="20"/>
          <w:szCs w:val="20"/>
          <w:lang w:val="en-GB"/>
        </w:rPr>
        <w:t>T</w:t>
      </w:r>
      <w:r>
        <w:rPr>
          <w:rFonts w:eastAsia="宋体" w:cs="Times New Roman"/>
          <w:kern w:val="0"/>
          <w:sz w:val="20"/>
          <w:szCs w:val="20"/>
          <w:lang w:val="en-GB"/>
        </w:rPr>
        <w:t xml:space="preserve">here are some default BAP configurations at the BAP entity of mobile IAB-MT, i.e. </w:t>
      </w:r>
      <w:r w:rsidRPr="00CC3AC0">
        <w:rPr>
          <w:rFonts w:eastAsia="宋体" w:cs="Times New Roman"/>
          <w:i/>
          <w:kern w:val="0"/>
          <w:sz w:val="20"/>
          <w:szCs w:val="20"/>
          <w:lang w:val="en-GB"/>
        </w:rPr>
        <w:t>defaultUL-BAP-RoutingID</w:t>
      </w:r>
      <w:r w:rsidRPr="00CC3AC0">
        <w:rPr>
          <w:rFonts w:eastAsia="宋体" w:cs="Times New Roman"/>
          <w:kern w:val="0"/>
          <w:sz w:val="20"/>
          <w:szCs w:val="20"/>
          <w:lang w:val="en-GB"/>
        </w:rPr>
        <w:t xml:space="preserve">, </w:t>
      </w:r>
      <w:r w:rsidRPr="00CC3AC0">
        <w:rPr>
          <w:rFonts w:eastAsia="宋体" w:cs="Times New Roman"/>
          <w:i/>
          <w:kern w:val="0"/>
          <w:sz w:val="20"/>
          <w:szCs w:val="20"/>
          <w:lang w:val="en-GB"/>
        </w:rPr>
        <w:t>defaultUL-BH-RLC-Channel</w:t>
      </w:r>
      <w:r>
        <w:rPr>
          <w:rFonts w:eastAsia="宋体" w:cs="Times New Roman"/>
          <w:kern w:val="0"/>
          <w:sz w:val="20"/>
          <w:szCs w:val="20"/>
          <w:lang w:val="en-GB"/>
        </w:rPr>
        <w:t>.</w:t>
      </w:r>
    </w:p>
    <w:p w14:paraId="07501625" w14:textId="1966ABF9" w:rsidR="00CC3AC0" w:rsidRDefault="00CC3AC0" w:rsidP="00B934AC">
      <w:pPr>
        <w:widowControl/>
        <w:spacing w:after="180"/>
        <w:jc w:val="left"/>
        <w:rPr>
          <w:rFonts w:eastAsia="宋体" w:cs="Times New Roman"/>
          <w:kern w:val="0"/>
          <w:sz w:val="20"/>
          <w:szCs w:val="20"/>
          <w:lang w:val="en-GB"/>
        </w:rPr>
      </w:pPr>
      <w:r>
        <w:rPr>
          <w:rFonts w:eastAsia="宋体" w:cs="Times New Roman"/>
          <w:kern w:val="0"/>
          <w:sz w:val="20"/>
          <w:szCs w:val="20"/>
          <w:lang w:val="en-GB"/>
        </w:rPr>
        <w:lastRenderedPageBreak/>
        <w:t>One open issue is</w:t>
      </w:r>
      <w:r w:rsidRPr="00CC3AC0">
        <w:t xml:space="preserve"> </w:t>
      </w:r>
      <w:r w:rsidRPr="00CD1E22">
        <w:rPr>
          <w:rFonts w:eastAsia="宋体" w:cs="Times New Roman"/>
          <w:kern w:val="0"/>
          <w:sz w:val="20"/>
          <w:szCs w:val="20"/>
          <w:highlight w:val="yellow"/>
          <w:lang w:val="en-GB"/>
        </w:rPr>
        <w:t>whether the default BAP configuration at mobile IAB MT provided by RRC is shared between the two logical DUs</w:t>
      </w:r>
      <w:r>
        <w:rPr>
          <w:rFonts w:eastAsia="宋体" w:cs="Times New Roman"/>
          <w:kern w:val="0"/>
          <w:sz w:val="20"/>
          <w:szCs w:val="20"/>
          <w:lang w:val="en-GB"/>
        </w:rPr>
        <w:t>.</w:t>
      </w:r>
    </w:p>
    <w:p w14:paraId="5ED090DD" w14:textId="15BC4664" w:rsidR="00CC3AC0" w:rsidRDefault="00CC3AC0" w:rsidP="00CC3AC0">
      <w:pPr>
        <w:pStyle w:val="af4"/>
        <w:numPr>
          <w:ilvl w:val="0"/>
          <w:numId w:val="17"/>
        </w:numPr>
        <w:spacing w:after="60"/>
        <w:ind w:leftChars="0"/>
        <w:rPr>
          <w:rFonts w:eastAsia="Symbol"/>
          <w:sz w:val="20"/>
          <w:szCs w:val="20"/>
        </w:rPr>
      </w:pPr>
      <w:r>
        <w:rPr>
          <w:rFonts w:eastAsia="Symbol"/>
          <w:sz w:val="20"/>
          <w:szCs w:val="20"/>
        </w:rPr>
        <w:t xml:space="preserve">Yes, </w:t>
      </w:r>
      <w:r w:rsidRPr="00CC3AC0">
        <w:rPr>
          <w:rFonts w:eastAsia="Symbol"/>
          <w:sz w:val="20"/>
          <w:szCs w:val="20"/>
        </w:rPr>
        <w:t>the two F1/logical DUs share the same default BAP configuration (i.e. the one configured on MT’s link by MT’s CU)</w:t>
      </w:r>
    </w:p>
    <w:p w14:paraId="2DE52410" w14:textId="0F536775" w:rsidR="00CC3AC0" w:rsidRPr="00CC3AC0" w:rsidRDefault="00CC3AC0" w:rsidP="00CC3AC0">
      <w:pPr>
        <w:pStyle w:val="af4"/>
        <w:numPr>
          <w:ilvl w:val="1"/>
          <w:numId w:val="17"/>
        </w:numPr>
        <w:ind w:leftChars="0"/>
        <w:rPr>
          <w:rFonts w:eastAsia="Symbol"/>
          <w:sz w:val="20"/>
          <w:szCs w:val="20"/>
        </w:rPr>
      </w:pPr>
      <w:r>
        <w:rPr>
          <w:rFonts w:eastAsia="Symbol"/>
          <w:sz w:val="20"/>
          <w:szCs w:val="20"/>
        </w:rPr>
        <w:t>This</w:t>
      </w:r>
      <w:r w:rsidRPr="00CC3AC0">
        <w:rPr>
          <w:rFonts w:eastAsia="Symbol"/>
          <w:sz w:val="20"/>
          <w:szCs w:val="20"/>
        </w:rPr>
        <w:t xml:space="preserve"> is to exclude the option of introducing the logical-DU-specific default BAP configuration at mobile IAB MT.</w:t>
      </w:r>
    </w:p>
    <w:p w14:paraId="086325BB" w14:textId="2EFDB1C0" w:rsidR="00CC3AC0" w:rsidRPr="00CC3AC0" w:rsidRDefault="00CC3AC0" w:rsidP="00CC3AC0">
      <w:pPr>
        <w:pStyle w:val="af4"/>
        <w:numPr>
          <w:ilvl w:val="1"/>
          <w:numId w:val="17"/>
        </w:numPr>
        <w:ind w:leftChars="0"/>
        <w:rPr>
          <w:rFonts w:eastAsia="Symbol"/>
          <w:sz w:val="20"/>
          <w:szCs w:val="20"/>
        </w:rPr>
      </w:pPr>
      <w:r w:rsidRPr="00CC3AC0">
        <w:rPr>
          <w:rFonts w:eastAsia="Symbol" w:hint="eastAsia"/>
          <w:sz w:val="20"/>
          <w:szCs w:val="20"/>
        </w:rPr>
        <w:t>I</w:t>
      </w:r>
      <w:r w:rsidRPr="00CC3AC0">
        <w:rPr>
          <w:rFonts w:eastAsia="Symbol"/>
          <w:sz w:val="20"/>
          <w:szCs w:val="20"/>
        </w:rPr>
        <w:t xml:space="preserve">t means </w:t>
      </w:r>
      <w:r>
        <w:rPr>
          <w:rFonts w:eastAsia="Symbol"/>
          <w:sz w:val="20"/>
          <w:szCs w:val="20"/>
        </w:rPr>
        <w:t xml:space="preserve">that the same default BAP configuration is used </w:t>
      </w:r>
      <w:r w:rsidRPr="00CC3AC0">
        <w:rPr>
          <w:rFonts w:eastAsia="Symbol"/>
          <w:sz w:val="20"/>
          <w:szCs w:val="20"/>
        </w:rPr>
        <w:t>regardless which logical DU the UL data comes from, e.g. the tar</w:t>
      </w:r>
      <w:r>
        <w:rPr>
          <w:rFonts w:eastAsia="Symbol"/>
          <w:sz w:val="20"/>
          <w:szCs w:val="20"/>
        </w:rPr>
        <w:t>get logical F1AP setup message.</w:t>
      </w:r>
    </w:p>
    <w:p w14:paraId="34ECF891" w14:textId="392128D1" w:rsidR="00CC3AC0" w:rsidRPr="00CC3AC0" w:rsidRDefault="00CC3AC0" w:rsidP="00CC3AC0">
      <w:pPr>
        <w:pStyle w:val="af4"/>
        <w:numPr>
          <w:ilvl w:val="0"/>
          <w:numId w:val="17"/>
        </w:numPr>
        <w:ind w:leftChars="0"/>
        <w:rPr>
          <w:rFonts w:eastAsia="Symbol"/>
          <w:sz w:val="20"/>
          <w:szCs w:val="20"/>
        </w:rPr>
      </w:pPr>
      <w:r w:rsidRPr="00CC3AC0">
        <w:rPr>
          <w:rFonts w:eastAsia="Symbol" w:hint="eastAsia"/>
          <w:sz w:val="20"/>
          <w:szCs w:val="20"/>
        </w:rPr>
        <w:t>N</w:t>
      </w:r>
      <w:r w:rsidRPr="00CC3AC0">
        <w:rPr>
          <w:rFonts w:eastAsia="Symbol"/>
          <w:sz w:val="20"/>
          <w:szCs w:val="20"/>
        </w:rPr>
        <w:t xml:space="preserve">o, </w:t>
      </w:r>
      <w:r>
        <w:rPr>
          <w:rFonts w:eastAsia="Symbol"/>
          <w:sz w:val="20"/>
          <w:szCs w:val="20"/>
        </w:rPr>
        <w:t>introduce the</w:t>
      </w:r>
      <w:r w:rsidRPr="00CC3AC0">
        <w:rPr>
          <w:rFonts w:eastAsia="Symbol"/>
          <w:sz w:val="20"/>
          <w:szCs w:val="20"/>
        </w:rPr>
        <w:t xml:space="preserve"> F1/logical DU specific default BAP configuration </w:t>
      </w:r>
    </w:p>
    <w:p w14:paraId="31F62210" w14:textId="2C449C1D" w:rsidR="00CC3AC0" w:rsidRPr="0081063A" w:rsidRDefault="0081063A" w:rsidP="0081063A">
      <w:pPr>
        <w:pStyle w:val="af4"/>
        <w:numPr>
          <w:ilvl w:val="1"/>
          <w:numId w:val="17"/>
        </w:numPr>
        <w:spacing w:after="60"/>
        <w:ind w:leftChars="0"/>
        <w:rPr>
          <w:rFonts w:eastAsia="Symbol"/>
          <w:sz w:val="20"/>
          <w:szCs w:val="20"/>
          <w:lang w:val="en-US"/>
        </w:rPr>
      </w:pPr>
      <w:r>
        <w:rPr>
          <w:rFonts w:eastAsia="Symbol" w:hint="eastAsia"/>
          <w:sz w:val="20"/>
          <w:szCs w:val="20"/>
          <w:lang w:val="en-US"/>
        </w:rPr>
        <w:t>T</w:t>
      </w:r>
      <w:r>
        <w:rPr>
          <w:rFonts w:eastAsia="Symbol"/>
          <w:sz w:val="20"/>
          <w:szCs w:val="20"/>
          <w:lang w:val="en-US"/>
        </w:rPr>
        <w:t xml:space="preserve">he motivation to configure </w:t>
      </w:r>
      <w:r w:rsidRPr="00CC3AC0">
        <w:rPr>
          <w:rFonts w:eastAsia="Symbol"/>
          <w:sz w:val="20"/>
          <w:szCs w:val="20"/>
        </w:rPr>
        <w:t>logical DU specific default BAP configuration</w:t>
      </w:r>
      <w:r>
        <w:rPr>
          <w:rFonts w:eastAsia="Symbol"/>
          <w:sz w:val="20"/>
          <w:szCs w:val="20"/>
        </w:rPr>
        <w:t xml:space="preserve"> can be:</w:t>
      </w:r>
    </w:p>
    <w:p w14:paraId="5F25D382" w14:textId="7D96F721" w:rsidR="0081063A" w:rsidRPr="0081063A" w:rsidRDefault="0081063A" w:rsidP="0081063A">
      <w:pPr>
        <w:pStyle w:val="af4"/>
        <w:numPr>
          <w:ilvl w:val="2"/>
          <w:numId w:val="17"/>
        </w:numPr>
        <w:spacing w:after="60"/>
        <w:ind w:leftChars="0"/>
        <w:rPr>
          <w:rFonts w:eastAsia="Symbol"/>
          <w:sz w:val="20"/>
          <w:szCs w:val="20"/>
          <w:lang w:val="en-US"/>
        </w:rPr>
      </w:pPr>
      <w:r>
        <w:rPr>
          <w:rFonts w:eastAsia="Symbol"/>
          <w:sz w:val="20"/>
          <w:szCs w:val="20"/>
        </w:rPr>
        <w:t>1</w:t>
      </w:r>
      <w:r w:rsidRPr="0081063A">
        <w:rPr>
          <w:rFonts w:eastAsia="Symbol"/>
          <w:sz w:val="20"/>
          <w:szCs w:val="20"/>
          <w:vertAlign w:val="superscript"/>
        </w:rPr>
        <w:t>st</w:t>
      </w:r>
      <w:r>
        <w:rPr>
          <w:rFonts w:eastAsia="Symbol"/>
          <w:sz w:val="20"/>
          <w:szCs w:val="20"/>
        </w:rPr>
        <w:t xml:space="preserve">: </w:t>
      </w:r>
      <w:r w:rsidRPr="0081063A">
        <w:rPr>
          <w:rFonts w:eastAsia="Symbol"/>
          <w:sz w:val="20"/>
          <w:szCs w:val="20"/>
        </w:rPr>
        <w:t>To somehow speed up/give high priority to the F1 setup of the target logical DU.</w:t>
      </w:r>
    </w:p>
    <w:p w14:paraId="0646189F" w14:textId="1BA1BE67" w:rsidR="0081063A" w:rsidRDefault="0081063A" w:rsidP="0081063A">
      <w:pPr>
        <w:pStyle w:val="af4"/>
        <w:numPr>
          <w:ilvl w:val="2"/>
          <w:numId w:val="17"/>
        </w:numPr>
        <w:spacing w:after="60"/>
        <w:ind w:leftChars="0"/>
        <w:rPr>
          <w:rFonts w:eastAsia="Symbol"/>
          <w:sz w:val="20"/>
          <w:szCs w:val="20"/>
        </w:rPr>
      </w:pPr>
      <w:r>
        <w:rPr>
          <w:rFonts w:eastAsia="Symbol"/>
          <w:sz w:val="20"/>
          <w:szCs w:val="20"/>
        </w:rPr>
        <w:t>2</w:t>
      </w:r>
      <w:r w:rsidRPr="0081063A">
        <w:rPr>
          <w:rFonts w:eastAsia="Symbol"/>
          <w:sz w:val="20"/>
          <w:szCs w:val="20"/>
          <w:vertAlign w:val="superscript"/>
        </w:rPr>
        <w:t>nd</w:t>
      </w:r>
      <w:r w:rsidRPr="0081063A">
        <w:rPr>
          <w:rFonts w:eastAsia="Symbol" w:hint="eastAsia"/>
          <w:sz w:val="20"/>
          <w:szCs w:val="20"/>
        </w:rPr>
        <w:t>:</w:t>
      </w:r>
      <w:r w:rsidRPr="0081063A">
        <w:t xml:space="preserve"> </w:t>
      </w:r>
      <w:r w:rsidRPr="0081063A">
        <w:rPr>
          <w:rFonts w:eastAsia="Symbol"/>
          <w:sz w:val="20"/>
          <w:szCs w:val="20"/>
        </w:rPr>
        <w:t>To configure different routing path, if there are intermediate nodes between donor DU and migrating node.</w:t>
      </w:r>
    </w:p>
    <w:p w14:paraId="21DFEA71" w14:textId="77777777" w:rsidR="00AB1BEA" w:rsidRDefault="0081063A" w:rsidP="00AB1BEA">
      <w:pPr>
        <w:pStyle w:val="af4"/>
        <w:numPr>
          <w:ilvl w:val="2"/>
          <w:numId w:val="17"/>
        </w:numPr>
        <w:spacing w:after="60"/>
        <w:ind w:leftChars="0"/>
        <w:rPr>
          <w:rFonts w:eastAsia="Symbol"/>
          <w:sz w:val="20"/>
          <w:szCs w:val="20"/>
        </w:rPr>
      </w:pPr>
      <w:r>
        <w:rPr>
          <w:rFonts w:eastAsia="Symbol"/>
          <w:sz w:val="20"/>
          <w:szCs w:val="20"/>
        </w:rPr>
        <w:t>3</w:t>
      </w:r>
      <w:r w:rsidRPr="0081063A">
        <w:rPr>
          <w:rFonts w:eastAsia="Symbol"/>
          <w:sz w:val="20"/>
          <w:szCs w:val="20"/>
          <w:vertAlign w:val="superscript"/>
        </w:rPr>
        <w:t>rd</w:t>
      </w:r>
      <w:r>
        <w:rPr>
          <w:rFonts w:eastAsia="Symbol"/>
          <w:sz w:val="20"/>
          <w:szCs w:val="20"/>
        </w:rPr>
        <w:t>:</w:t>
      </w:r>
      <w:r w:rsidRPr="0081063A">
        <w:t xml:space="preserve"> </w:t>
      </w:r>
      <w:r w:rsidRPr="0081063A">
        <w:rPr>
          <w:rFonts w:eastAsia="Symbol"/>
          <w:sz w:val="20"/>
          <w:szCs w:val="20"/>
        </w:rPr>
        <w:t>To consider the RAN3 WA scenario “WA: The mIAB-MT and its co-located mIAB-DU can be handed over/migrated to different donor CUs.”</w:t>
      </w:r>
    </w:p>
    <w:p w14:paraId="46ED151A" w14:textId="5CA60AAE" w:rsidR="00AB2F48" w:rsidRDefault="00AB1BEA" w:rsidP="00AB1BEA">
      <w:pPr>
        <w:pStyle w:val="af4"/>
        <w:numPr>
          <w:ilvl w:val="3"/>
          <w:numId w:val="17"/>
        </w:numPr>
        <w:spacing w:after="60"/>
        <w:ind w:leftChars="0"/>
        <w:rPr>
          <w:rFonts w:eastAsia="Symbol"/>
          <w:sz w:val="20"/>
          <w:szCs w:val="20"/>
        </w:rPr>
      </w:pPr>
      <w:r w:rsidRPr="00AB1BEA">
        <w:rPr>
          <w:rFonts w:eastAsia="Symbol"/>
          <w:sz w:val="20"/>
          <w:szCs w:val="20"/>
        </w:rPr>
        <w:t>For example, in the following figure, given there are some intermediate stationary nodes, if the donor CU1 and donor CU3 are in two different IP domains, the CU2 has to configure two different donor DUs (e.g., donor DU2a and donor DU2b), which belongs to the IP domains of donor CU1 and donor CU3, respectively. In this sense, logical-DU-specific default BAP configuration is a necessary configuration.</w:t>
      </w:r>
    </w:p>
    <w:p w14:paraId="19B6A3E9" w14:textId="104F5CD7" w:rsidR="0081063A" w:rsidRPr="00AB2F48" w:rsidRDefault="0081063A" w:rsidP="00AB2F48">
      <w:pPr>
        <w:spacing w:after="60"/>
        <w:jc w:val="center"/>
        <w:rPr>
          <w:rFonts w:eastAsia="Symbol"/>
          <w:sz w:val="20"/>
          <w:szCs w:val="20"/>
        </w:rPr>
      </w:pPr>
      <w:r w:rsidRPr="007A1658">
        <w:rPr>
          <w:noProof/>
        </w:rPr>
        <w:drawing>
          <wp:inline distT="0" distB="0" distL="0" distR="0" wp14:anchorId="30BCD5DE" wp14:editId="57656377">
            <wp:extent cx="2258170" cy="2072011"/>
            <wp:effectExtent l="0" t="0" r="0" b="0"/>
            <wp:docPr id="6" name="图片 6" descr="C:\Users\s00455255\Desktop\页-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455255\Desktop\页-1.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8485" r="22701"/>
                    <a:stretch/>
                  </pic:blipFill>
                  <pic:spPr bwMode="auto">
                    <a:xfrm>
                      <a:off x="0" y="0"/>
                      <a:ext cx="2270150" cy="2083003"/>
                    </a:xfrm>
                    <a:prstGeom prst="rect">
                      <a:avLst/>
                    </a:prstGeom>
                    <a:noFill/>
                    <a:ln>
                      <a:noFill/>
                    </a:ln>
                    <a:extLst>
                      <a:ext uri="{53640926-AAD7-44D8-BBD7-CCE9431645EC}">
                        <a14:shadowObscured xmlns:a14="http://schemas.microsoft.com/office/drawing/2010/main"/>
                      </a:ext>
                    </a:extLst>
                  </pic:spPr>
                </pic:pic>
              </a:graphicData>
            </a:graphic>
          </wp:inline>
        </w:drawing>
      </w:r>
    </w:p>
    <w:p w14:paraId="56890C0A" w14:textId="21D23685" w:rsidR="000E187A" w:rsidRPr="00D9009E" w:rsidRDefault="000E187A" w:rsidP="00D9009E">
      <w:pPr>
        <w:widowControl/>
        <w:spacing w:after="180"/>
        <w:jc w:val="left"/>
        <w:rPr>
          <w:rFonts w:eastAsia="宋体" w:cs="Times New Roman"/>
          <w:kern w:val="0"/>
          <w:sz w:val="20"/>
          <w:szCs w:val="20"/>
          <w:lang w:val="en-GB"/>
        </w:rPr>
      </w:pPr>
      <w:r w:rsidRPr="00D9009E">
        <w:rPr>
          <w:rFonts w:eastAsia="宋体" w:cs="Times New Roman" w:hint="eastAsia"/>
          <w:kern w:val="0"/>
          <w:sz w:val="20"/>
          <w:szCs w:val="20"/>
          <w:lang w:val="en-GB"/>
        </w:rPr>
        <w:t>B</w:t>
      </w:r>
      <w:r w:rsidRPr="00D9009E">
        <w:rPr>
          <w:rFonts w:eastAsia="宋体" w:cs="Times New Roman"/>
          <w:kern w:val="0"/>
          <w:sz w:val="20"/>
          <w:szCs w:val="20"/>
          <w:lang w:val="en-GB"/>
        </w:rPr>
        <w:t xml:space="preserve">ased on the above analyses, we propose: </w:t>
      </w:r>
    </w:p>
    <w:p w14:paraId="4B7B65C2" w14:textId="6702048D" w:rsidR="00AB2F48" w:rsidRPr="000E187A" w:rsidRDefault="00AB2F48" w:rsidP="00AB2F48">
      <w:pPr>
        <w:rPr>
          <w:b/>
          <w:bCs/>
        </w:rPr>
      </w:pPr>
      <w:r w:rsidRPr="000E187A">
        <w:rPr>
          <w:rFonts w:hint="eastAsia"/>
          <w:b/>
          <w:bCs/>
        </w:rPr>
        <w:t>Proposal 1a: For the upstream data handling at the BAP of mobile IAB MT, one common default BAP configuration to be used by both logical DUs is the baseline. RAN2 to</w:t>
      </w:r>
      <w:r w:rsidR="00F20FAE" w:rsidRPr="00F20FAE">
        <w:rPr>
          <w:rFonts w:ascii="Times" w:eastAsia="Batang" w:hAnsi="Times" w:cs="Times New Roman"/>
          <w:b/>
          <w:bCs/>
          <w:kern w:val="0"/>
          <w:sz w:val="22"/>
          <w:szCs w:val="24"/>
          <w:lang w:val="en-GB"/>
        </w:rPr>
        <w:t xml:space="preserve"> </w:t>
      </w:r>
      <w:r w:rsidR="00F20FAE">
        <w:rPr>
          <w:rFonts w:ascii="Times" w:eastAsia="Batang" w:hAnsi="Times" w:cs="Times New Roman"/>
          <w:b/>
          <w:bCs/>
          <w:kern w:val="0"/>
          <w:sz w:val="22"/>
          <w:szCs w:val="24"/>
          <w:lang w:val="en-GB"/>
        </w:rPr>
        <w:t>further</w:t>
      </w:r>
      <w:r w:rsidRPr="000E187A">
        <w:rPr>
          <w:rFonts w:hint="eastAsia"/>
          <w:b/>
          <w:bCs/>
        </w:rPr>
        <w:t xml:space="preserve"> discuss </w:t>
      </w:r>
      <w:r w:rsidR="00AB1BEA" w:rsidRPr="000E187A">
        <w:rPr>
          <w:b/>
          <w:bCs/>
        </w:rPr>
        <w:t xml:space="preserve">the need of </w:t>
      </w:r>
      <w:r w:rsidRPr="000E187A">
        <w:rPr>
          <w:rFonts w:hint="eastAsia"/>
          <w:b/>
          <w:bCs/>
        </w:rPr>
        <w:t>using logical-DU-specific default BAP configuration</w:t>
      </w:r>
      <w:r w:rsidR="00AB1BEA" w:rsidRPr="000E187A">
        <w:rPr>
          <w:b/>
          <w:bCs/>
        </w:rPr>
        <w:t xml:space="preserve"> (e.g. </w:t>
      </w:r>
      <w:r w:rsidR="00452D9F">
        <w:rPr>
          <w:b/>
          <w:bCs/>
        </w:rPr>
        <w:t xml:space="preserve">when </w:t>
      </w:r>
      <w:r w:rsidR="000E187A" w:rsidRPr="000E187A">
        <w:rPr>
          <w:b/>
          <w:bCs/>
        </w:rPr>
        <w:t>the two l</w:t>
      </w:r>
      <w:r w:rsidR="000E187A" w:rsidRPr="000E187A">
        <w:rPr>
          <w:rFonts w:hint="eastAsia"/>
          <w:b/>
          <w:bCs/>
        </w:rPr>
        <w:t>ogical DUs</w:t>
      </w:r>
      <w:r w:rsidR="000E187A" w:rsidRPr="000E187A">
        <w:rPr>
          <w:b/>
          <w:bCs/>
        </w:rPr>
        <w:t xml:space="preserve"> use different donor-DU</w:t>
      </w:r>
      <w:r w:rsidR="00452D9F">
        <w:rPr>
          <w:b/>
          <w:bCs/>
        </w:rPr>
        <w:t>s</w:t>
      </w:r>
      <w:r w:rsidR="00AB1BEA" w:rsidRPr="000E187A">
        <w:rPr>
          <w:b/>
          <w:bCs/>
        </w:rPr>
        <w:t>)</w:t>
      </w:r>
      <w:r w:rsidRPr="000E187A">
        <w:rPr>
          <w:rFonts w:hint="eastAsia"/>
          <w:b/>
          <w:bCs/>
        </w:rPr>
        <w:t>.</w:t>
      </w:r>
    </w:p>
    <w:p w14:paraId="6EEE342E" w14:textId="0F0D630B" w:rsidR="00FF4DF9" w:rsidRDefault="00015926" w:rsidP="00FF4DF9">
      <w:pPr>
        <w:pStyle w:val="21"/>
        <w:rPr>
          <w:rFonts w:ascii="Times New Roman" w:eastAsiaTheme="minorEastAsia" w:hAnsi="Times New Roman"/>
          <w:sz w:val="28"/>
          <w:szCs w:val="28"/>
          <w:lang w:eastAsia="zh-CN"/>
        </w:rPr>
      </w:pPr>
      <w:r w:rsidRPr="00FF4DF9">
        <w:rPr>
          <w:rFonts w:ascii="Times New Roman" w:eastAsiaTheme="minorEastAsia" w:hAnsi="Times New Roman"/>
          <w:sz w:val="28"/>
          <w:szCs w:val="28"/>
          <w:lang w:eastAsia="zh-CN"/>
        </w:rPr>
        <w:t>2.1</w:t>
      </w:r>
      <w:r w:rsidR="00B934AC">
        <w:rPr>
          <w:rFonts w:ascii="Times New Roman" w:eastAsiaTheme="minorEastAsia" w:hAnsi="Times New Roman"/>
          <w:sz w:val="28"/>
          <w:szCs w:val="28"/>
          <w:lang w:eastAsia="zh-CN"/>
        </w:rPr>
        <w:t>b</w:t>
      </w:r>
      <w:r w:rsidRPr="00FF4DF9">
        <w:rPr>
          <w:rFonts w:ascii="Times New Roman" w:eastAsiaTheme="minorEastAsia" w:hAnsi="Times New Roman"/>
          <w:sz w:val="28"/>
          <w:szCs w:val="28"/>
          <w:lang w:eastAsia="zh-CN"/>
        </w:rPr>
        <w:t xml:space="preserve"> </w:t>
      </w:r>
      <w:r w:rsidR="00B934AC">
        <w:rPr>
          <w:rFonts w:ascii="Times New Roman" w:eastAsiaTheme="minorEastAsia" w:hAnsi="Times New Roman"/>
          <w:sz w:val="28"/>
          <w:szCs w:val="28"/>
          <w:lang w:eastAsia="zh-CN"/>
        </w:rPr>
        <w:t>F1AP BAP configuration</w:t>
      </w:r>
    </w:p>
    <w:p w14:paraId="51A67C53" w14:textId="0C5C5AB4" w:rsidR="00CD1E22" w:rsidRDefault="00CD1E22" w:rsidP="00FF4DF9">
      <w:pPr>
        <w:widowControl/>
        <w:spacing w:after="180"/>
        <w:jc w:val="left"/>
        <w:rPr>
          <w:rFonts w:eastAsia="宋体" w:cs="Times New Roman"/>
          <w:kern w:val="0"/>
          <w:sz w:val="20"/>
          <w:szCs w:val="20"/>
          <w:lang w:val="en-GB"/>
        </w:rPr>
      </w:pPr>
      <w:r>
        <w:rPr>
          <w:rFonts w:eastAsia="宋体" w:cs="Times New Roman"/>
          <w:kern w:val="0"/>
          <w:sz w:val="20"/>
          <w:szCs w:val="20"/>
          <w:lang w:val="en-GB"/>
        </w:rPr>
        <w:t xml:space="preserve">Also, the BAP entity at mobile IAB-MT will be configured with BAP configuration via F1AP, </w:t>
      </w:r>
      <w:r w:rsidRPr="00CD1E22">
        <w:rPr>
          <w:rFonts w:eastAsia="宋体" w:cs="Times New Roman"/>
          <w:kern w:val="0"/>
          <w:sz w:val="20"/>
          <w:szCs w:val="20"/>
          <w:lang w:val="en-GB"/>
        </w:rPr>
        <w:t>i.e. the UL traffic’s routing and bearer mapping at the access node (see the “Uplink Traffic to Routing ID Mapping Configuration” and “Uplink Traffic to BH RLC Channel Mapping Configuration” in 38.340</w:t>
      </w:r>
      <w:r>
        <w:rPr>
          <w:rFonts w:eastAsia="宋体" w:cs="Times New Roman"/>
          <w:kern w:val="0"/>
          <w:sz w:val="20"/>
          <w:szCs w:val="20"/>
          <w:lang w:val="en-GB"/>
        </w:rPr>
        <w:t xml:space="preserve">). Another open issue is </w:t>
      </w:r>
      <w:r w:rsidRPr="00CD1E22">
        <w:rPr>
          <w:rFonts w:eastAsia="宋体" w:cs="Times New Roman"/>
          <w:kern w:val="0"/>
          <w:sz w:val="20"/>
          <w:szCs w:val="20"/>
          <w:highlight w:val="yellow"/>
          <w:lang w:val="en-GB"/>
        </w:rPr>
        <w:t>whether the F1AP BAP configuration at mobile IAB-MT is shared between the two logical DUs</w:t>
      </w:r>
      <w:r w:rsidRPr="00CD1E22">
        <w:rPr>
          <w:rFonts w:eastAsia="宋体" w:cs="Times New Roman"/>
          <w:kern w:val="0"/>
          <w:sz w:val="20"/>
          <w:szCs w:val="20"/>
          <w:lang w:val="en-GB"/>
        </w:rPr>
        <w:t>.</w:t>
      </w:r>
    </w:p>
    <w:p w14:paraId="6441A72B" w14:textId="77777777" w:rsidR="00CD1E22" w:rsidRDefault="00CD1E22" w:rsidP="00CD1E22">
      <w:pPr>
        <w:widowControl/>
        <w:numPr>
          <w:ilvl w:val="0"/>
          <w:numId w:val="18"/>
        </w:numPr>
        <w:spacing w:beforeLines="50" w:before="120"/>
      </w:pPr>
      <w:r>
        <w:t>Alt.1: Yes, shared.</w:t>
      </w:r>
    </w:p>
    <w:p w14:paraId="45B712EF" w14:textId="77777777" w:rsidR="00CD1E22" w:rsidRDefault="00CD1E22" w:rsidP="00CD1E22">
      <w:pPr>
        <w:widowControl/>
        <w:numPr>
          <w:ilvl w:val="1"/>
          <w:numId w:val="18"/>
        </w:numPr>
        <w:spacing w:beforeLines="50" w:before="120"/>
      </w:pPr>
      <w:r>
        <w:t>The used F1AP BAP configuration at mobile IAB-MT is either the one configured by the source logical DU’s donor CU or the one configured by the target logical DU’s donor CU (rather than mixed at the same time).</w:t>
      </w:r>
    </w:p>
    <w:p w14:paraId="1B5E4467" w14:textId="77777777" w:rsidR="00CD1E22" w:rsidRDefault="00CD1E22" w:rsidP="00CD1E22">
      <w:pPr>
        <w:widowControl/>
        <w:numPr>
          <w:ilvl w:val="1"/>
          <w:numId w:val="18"/>
        </w:numPr>
        <w:spacing w:beforeLines="50" w:before="120"/>
      </w:pPr>
      <w:r>
        <w:t xml:space="preserve">This means the two donors cannot </w:t>
      </w:r>
      <w:r>
        <w:rPr>
          <w:highlight w:val="yellow"/>
        </w:rPr>
        <w:t>separately control</w:t>
      </w:r>
      <w:r>
        <w:t xml:space="preserve"> the UL routing and bearer mapping at mobile IAB of the data from </w:t>
      </w:r>
      <w:r>
        <w:rPr>
          <w:highlight w:val="yellow"/>
        </w:rPr>
        <w:t>different</w:t>
      </w:r>
      <w:r>
        <w:t xml:space="preserve"> logical DUs, during the coexisting period.</w:t>
      </w:r>
    </w:p>
    <w:p w14:paraId="0A72D446" w14:textId="77777777" w:rsidR="00CD1E22" w:rsidRDefault="00CD1E22" w:rsidP="00CD1E22">
      <w:pPr>
        <w:widowControl/>
        <w:numPr>
          <w:ilvl w:val="0"/>
          <w:numId w:val="18"/>
        </w:numPr>
        <w:spacing w:beforeLines="50" w:before="120"/>
      </w:pPr>
      <w:r>
        <w:t>Alt.2: No, separately configured.</w:t>
      </w:r>
    </w:p>
    <w:p w14:paraId="72464563" w14:textId="77777777" w:rsidR="00CD1E22" w:rsidRDefault="00CD1E22" w:rsidP="00CD1E22">
      <w:pPr>
        <w:widowControl/>
        <w:numPr>
          <w:ilvl w:val="1"/>
          <w:numId w:val="18"/>
        </w:numPr>
        <w:spacing w:beforeLines="50" w:before="120"/>
      </w:pPr>
      <w:r>
        <w:lastRenderedPageBreak/>
        <w:t xml:space="preserve">We need to define the </w:t>
      </w:r>
      <w:r>
        <w:rPr>
          <w:highlight w:val="yellow"/>
        </w:rPr>
        <w:t>logical-DU-specific/donor-CU-specific entries/tables</w:t>
      </w:r>
      <w:r>
        <w:t xml:space="preserve"> in “Uplink Traffic to Routing ID Mapping Configuration” and “Uplink Traffic to BH RLC Channel Mapping Configuration” at mobile IAB MT. Otherwise, one CU cannot Add/Mod/Release an entry without knowing the existing entries configured by another CU. </w:t>
      </w:r>
    </w:p>
    <w:p w14:paraId="7EDD01C2" w14:textId="77777777" w:rsidR="00CD1E22" w:rsidRDefault="00CD1E22" w:rsidP="00CD1E22">
      <w:pPr>
        <w:rPr>
          <w:color w:val="0070C0"/>
          <w:u w:val="single"/>
        </w:rPr>
      </w:pPr>
    </w:p>
    <w:p w14:paraId="25AFABA2" w14:textId="6CFA8B10" w:rsidR="00CD1E22" w:rsidRPr="00CD1E22" w:rsidRDefault="00CD1E22" w:rsidP="00CD1E22">
      <w:pPr>
        <w:widowControl/>
        <w:spacing w:after="180"/>
        <w:jc w:val="left"/>
        <w:rPr>
          <w:rFonts w:eastAsia="宋体" w:cs="Times New Roman"/>
          <w:kern w:val="0"/>
          <w:sz w:val="20"/>
          <w:szCs w:val="20"/>
          <w:lang w:val="en-GB"/>
        </w:rPr>
      </w:pPr>
      <w:r w:rsidRPr="00CD1E22">
        <w:rPr>
          <w:rFonts w:eastAsia="宋体" w:cs="Times New Roman"/>
          <w:kern w:val="0"/>
          <w:sz w:val="20"/>
          <w:szCs w:val="20"/>
          <w:lang w:val="en-GB"/>
        </w:rPr>
        <w:t xml:space="preserve">One common </w:t>
      </w:r>
      <w:r>
        <w:rPr>
          <w:rFonts w:eastAsia="宋体" w:cs="Times New Roman"/>
          <w:kern w:val="0"/>
          <w:sz w:val="20"/>
          <w:szCs w:val="20"/>
          <w:lang w:val="en-GB"/>
        </w:rPr>
        <w:t>understanding</w:t>
      </w:r>
      <w:r w:rsidRPr="00CD1E22">
        <w:rPr>
          <w:rFonts w:eastAsia="宋体" w:cs="Times New Roman"/>
          <w:kern w:val="0"/>
          <w:sz w:val="20"/>
          <w:szCs w:val="20"/>
          <w:lang w:val="en-GB"/>
        </w:rPr>
        <w:t xml:space="preserve"> seems that F1AP BAP configuration of two logical DUs should be controlled by its own CU separately. The further issue is how to achieve this (e.g. by implementation or not).</w:t>
      </w:r>
    </w:p>
    <w:p w14:paraId="5F5835A7" w14:textId="77777777" w:rsidR="00CD1E22" w:rsidRPr="00CD1E22" w:rsidRDefault="00CD1E22" w:rsidP="00CD1E22">
      <w:pPr>
        <w:widowControl/>
        <w:spacing w:after="180"/>
        <w:jc w:val="left"/>
        <w:rPr>
          <w:rFonts w:eastAsia="宋体" w:cs="Times New Roman"/>
          <w:kern w:val="0"/>
          <w:sz w:val="20"/>
          <w:szCs w:val="20"/>
          <w:lang w:val="en-GB"/>
        </w:rPr>
      </w:pPr>
      <w:r w:rsidRPr="00CD1E22">
        <w:rPr>
          <w:rFonts w:eastAsia="宋体" w:cs="Times New Roman" w:hint="eastAsia"/>
          <w:kern w:val="0"/>
          <w:sz w:val="20"/>
          <w:szCs w:val="20"/>
          <w:lang w:val="en-GB"/>
        </w:rPr>
        <w:t>T</w:t>
      </w:r>
      <w:r w:rsidRPr="00CD1E22">
        <w:rPr>
          <w:rFonts w:eastAsia="宋体" w:cs="Times New Roman"/>
          <w:kern w:val="0"/>
          <w:sz w:val="20"/>
          <w:szCs w:val="20"/>
          <w:lang w:val="en-GB"/>
        </w:rPr>
        <w:t>his is something different with R17 partial migration/topology redundancy, where there is only ONE F1AP connection at the boundary node. The F1AP BAP configuration has to be configured by this F1-terminating CU in R17. But, the R18 mobile IAB node has TWO F1AP connections, where any of those two CUs (1st logical DU’s CU and 2nd logical DU’s CU) can configure F1AP BAP configuration in theory.</w:t>
      </w:r>
    </w:p>
    <w:p w14:paraId="4569939C" w14:textId="77777777" w:rsidR="00CD1E22" w:rsidRPr="00E556B1" w:rsidRDefault="00CD1E22" w:rsidP="00CD1E22">
      <w:pPr>
        <w:spacing w:beforeLines="50" w:before="120"/>
        <w:jc w:val="center"/>
        <w:rPr>
          <w:color w:val="0070C0"/>
        </w:rPr>
      </w:pPr>
      <w:r w:rsidRPr="007A1658">
        <w:rPr>
          <w:noProof/>
        </w:rPr>
        <w:drawing>
          <wp:inline distT="0" distB="0" distL="0" distR="0" wp14:anchorId="7847F9A0" wp14:editId="7C4076AB">
            <wp:extent cx="5300591" cy="1812944"/>
            <wp:effectExtent l="0" t="0" r="0" b="0"/>
            <wp:docPr id="5" name="图片 5" descr="C:\Users\s00455255\Desktop\页-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455255\Desktop\页-1.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22701"/>
                    <a:stretch/>
                  </pic:blipFill>
                  <pic:spPr bwMode="auto">
                    <a:xfrm>
                      <a:off x="0" y="0"/>
                      <a:ext cx="5306647" cy="1815015"/>
                    </a:xfrm>
                    <a:prstGeom prst="rect">
                      <a:avLst/>
                    </a:prstGeom>
                    <a:noFill/>
                    <a:ln>
                      <a:noFill/>
                    </a:ln>
                    <a:extLst>
                      <a:ext uri="{53640926-AAD7-44D8-BBD7-CCE9431645EC}">
                        <a14:shadowObscured xmlns:a14="http://schemas.microsoft.com/office/drawing/2010/main"/>
                      </a:ext>
                    </a:extLst>
                  </pic:spPr>
                </pic:pic>
              </a:graphicData>
            </a:graphic>
          </wp:inline>
        </w:drawing>
      </w:r>
    </w:p>
    <w:p w14:paraId="7E50AE9F" w14:textId="5065D3FC" w:rsidR="00CD1E22" w:rsidRPr="00E556B1" w:rsidRDefault="00CD1E22" w:rsidP="00CD1E22">
      <w:pPr>
        <w:spacing w:beforeLines="50" w:before="120"/>
        <w:rPr>
          <w:color w:val="0070C0"/>
        </w:rPr>
      </w:pPr>
      <w:r>
        <w:rPr>
          <w:color w:val="0070C0"/>
        </w:rPr>
        <w:t xml:space="preserve">                </w:t>
      </w:r>
      <w:r w:rsidRPr="00030912">
        <w:t xml:space="preserve">  A     </w:t>
      </w:r>
      <w:r w:rsidRPr="00030912">
        <w:tab/>
      </w:r>
      <w:r w:rsidRPr="00030912">
        <w:tab/>
      </w:r>
      <w:r w:rsidRPr="00030912">
        <w:tab/>
      </w:r>
      <w:r w:rsidRPr="00030912">
        <w:tab/>
        <w:t xml:space="preserve"> B</w:t>
      </w:r>
      <w:r w:rsidRPr="00030912">
        <w:tab/>
      </w:r>
      <w:r w:rsidRPr="00030912">
        <w:tab/>
      </w:r>
      <w:r w:rsidRPr="00030912">
        <w:tab/>
      </w:r>
      <w:r w:rsidRPr="00030912">
        <w:tab/>
      </w:r>
      <w:r w:rsidRPr="00030912">
        <w:tab/>
      </w:r>
      <w:r w:rsidRPr="00030912">
        <w:tab/>
      </w:r>
      <w:r w:rsidRPr="00030912">
        <w:tab/>
        <w:t xml:space="preserve">   C</w:t>
      </w:r>
    </w:p>
    <w:p w14:paraId="6D824309" w14:textId="77777777" w:rsidR="00CD1E22" w:rsidRDefault="00CD1E22" w:rsidP="00CD1E22">
      <w:pPr>
        <w:widowControl/>
        <w:spacing w:after="180"/>
        <w:jc w:val="left"/>
        <w:rPr>
          <w:rFonts w:eastAsia="宋体" w:cs="Times New Roman"/>
          <w:kern w:val="0"/>
          <w:sz w:val="20"/>
          <w:szCs w:val="20"/>
          <w:lang w:val="en-GB"/>
        </w:rPr>
      </w:pPr>
    </w:p>
    <w:p w14:paraId="560F234E" w14:textId="77777777" w:rsidR="00CD1E22" w:rsidRPr="00CD1E22" w:rsidRDefault="00CD1E22" w:rsidP="00CD1E22">
      <w:pPr>
        <w:widowControl/>
        <w:spacing w:after="180"/>
        <w:jc w:val="left"/>
        <w:rPr>
          <w:rFonts w:eastAsia="宋体" w:cs="Times New Roman"/>
          <w:kern w:val="0"/>
          <w:sz w:val="20"/>
          <w:szCs w:val="20"/>
          <w:lang w:val="en-GB"/>
        </w:rPr>
      </w:pPr>
      <w:r w:rsidRPr="00CD1E22">
        <w:rPr>
          <w:rFonts w:eastAsia="宋体" w:cs="Times New Roman"/>
          <w:kern w:val="0"/>
          <w:sz w:val="20"/>
          <w:szCs w:val="20"/>
          <w:lang w:val="en-GB"/>
        </w:rPr>
        <w:t>If we assume the F1AP BAP configuration of two logical DUs should be controlled by its own CU separately, then it should be clarified:</w:t>
      </w:r>
    </w:p>
    <w:p w14:paraId="1DCA46CC" w14:textId="77777777" w:rsidR="00CD1E22" w:rsidRPr="00CD1E22" w:rsidRDefault="00CD1E22" w:rsidP="00CD1E22">
      <w:pPr>
        <w:pStyle w:val="af4"/>
        <w:numPr>
          <w:ilvl w:val="2"/>
          <w:numId w:val="16"/>
        </w:numPr>
        <w:overflowPunct w:val="0"/>
        <w:autoSpaceDE w:val="0"/>
        <w:autoSpaceDN w:val="0"/>
        <w:adjustRightInd w:val="0"/>
        <w:spacing w:after="180" w:afterAutospacing="0" w:line="240" w:lineRule="auto"/>
        <w:ind w:leftChars="0" w:left="567" w:hanging="425"/>
        <w:jc w:val="left"/>
        <w:textAlignment w:val="baseline"/>
        <w:rPr>
          <w:rFonts w:ascii="Times New Roman" w:eastAsia="宋体" w:hAnsi="Times New Roman"/>
          <w:sz w:val="20"/>
          <w:szCs w:val="20"/>
        </w:rPr>
      </w:pPr>
      <w:r w:rsidRPr="00CD1E22">
        <w:rPr>
          <w:rFonts w:ascii="Times New Roman" w:eastAsia="宋体" w:hAnsi="Times New Roman"/>
          <w:sz w:val="20"/>
          <w:szCs w:val="20"/>
        </w:rPr>
        <w:t>whether both the two CUs can configure F1AP BAP configuration to mobile IAB;</w:t>
      </w:r>
    </w:p>
    <w:p w14:paraId="740AC351" w14:textId="4E202DFC" w:rsidR="00CD1E22" w:rsidRPr="00CD1E22" w:rsidRDefault="00CD1E22" w:rsidP="00CD1E22">
      <w:pPr>
        <w:pStyle w:val="af4"/>
        <w:numPr>
          <w:ilvl w:val="2"/>
          <w:numId w:val="16"/>
        </w:numPr>
        <w:overflowPunct w:val="0"/>
        <w:autoSpaceDE w:val="0"/>
        <w:autoSpaceDN w:val="0"/>
        <w:adjustRightInd w:val="0"/>
        <w:spacing w:after="180" w:afterAutospacing="0" w:line="240" w:lineRule="auto"/>
        <w:ind w:leftChars="0" w:left="567" w:hanging="425"/>
        <w:jc w:val="left"/>
        <w:textAlignment w:val="baseline"/>
        <w:rPr>
          <w:rFonts w:ascii="Times New Roman" w:eastAsia="宋体" w:hAnsi="Times New Roman"/>
          <w:sz w:val="20"/>
          <w:szCs w:val="20"/>
        </w:rPr>
      </w:pPr>
      <w:r w:rsidRPr="00CD1E22">
        <w:rPr>
          <w:rFonts w:ascii="Times New Roman" w:eastAsia="宋体" w:hAnsi="Times New Roman"/>
          <w:sz w:val="20"/>
          <w:szCs w:val="20"/>
        </w:rPr>
        <w:t xml:space="preserve">if only one CU can configure F1AP BAP configuration to mobile IAB, which CU is the one actually transmitting this F1AP configuration to mobile IAB. (note the assumption should cover all the </w:t>
      </w:r>
      <w:r>
        <w:rPr>
          <w:rFonts w:ascii="Times New Roman" w:eastAsia="宋体" w:hAnsi="Times New Roman"/>
          <w:sz w:val="20"/>
          <w:szCs w:val="20"/>
        </w:rPr>
        <w:t xml:space="preserve">above </w:t>
      </w:r>
      <w:r w:rsidRPr="00CD1E22">
        <w:rPr>
          <w:rFonts w:ascii="Times New Roman" w:eastAsia="宋体" w:hAnsi="Times New Roman"/>
          <w:sz w:val="20"/>
          <w:szCs w:val="20"/>
        </w:rPr>
        <w:t>scenarios figures A/B/C)</w:t>
      </w:r>
    </w:p>
    <w:p w14:paraId="5BF3F801" w14:textId="77777777" w:rsidR="00CD1E22" w:rsidRPr="00CD1E22" w:rsidRDefault="00CD1E22" w:rsidP="00CD1E22">
      <w:pPr>
        <w:pStyle w:val="af4"/>
        <w:numPr>
          <w:ilvl w:val="2"/>
          <w:numId w:val="16"/>
        </w:numPr>
        <w:overflowPunct w:val="0"/>
        <w:autoSpaceDE w:val="0"/>
        <w:autoSpaceDN w:val="0"/>
        <w:adjustRightInd w:val="0"/>
        <w:spacing w:after="180" w:afterAutospacing="0" w:line="240" w:lineRule="auto"/>
        <w:ind w:leftChars="0" w:left="567" w:hanging="425"/>
        <w:jc w:val="left"/>
        <w:textAlignment w:val="baseline"/>
        <w:rPr>
          <w:rFonts w:ascii="Times New Roman" w:eastAsia="宋体" w:hAnsi="Times New Roman"/>
          <w:sz w:val="20"/>
          <w:szCs w:val="20"/>
        </w:rPr>
      </w:pPr>
      <w:r w:rsidRPr="00CD1E22">
        <w:rPr>
          <w:rFonts w:ascii="Times New Roman" w:eastAsia="宋体" w:hAnsi="Times New Roman"/>
          <w:sz w:val="20"/>
          <w:szCs w:val="20"/>
        </w:rPr>
        <w:t>if CU1 actually provides the F1AP configuration to mobile IAB, how can CU2 coordinate with CU1 to ensure CU2 can somehow control the F1AP BAP configuration of its own logical DU? Is the legacy R17 IAB Transport Migration Management procedure sufficient (maybe RAN3 issue afterwards)?</w:t>
      </w:r>
    </w:p>
    <w:p w14:paraId="397E28B0" w14:textId="77777777" w:rsidR="00CD1E22" w:rsidRPr="00CD1E22" w:rsidRDefault="00CD1E22" w:rsidP="00CD1E22">
      <w:pPr>
        <w:widowControl/>
        <w:spacing w:after="180"/>
        <w:jc w:val="left"/>
        <w:rPr>
          <w:rFonts w:eastAsia="宋体" w:cs="Times New Roman"/>
          <w:kern w:val="0"/>
          <w:sz w:val="20"/>
          <w:szCs w:val="20"/>
          <w:lang w:val="en-GB"/>
        </w:rPr>
      </w:pPr>
      <w:r w:rsidRPr="00CD1E22">
        <w:rPr>
          <w:rFonts w:eastAsia="宋体" w:cs="Times New Roman"/>
          <w:kern w:val="0"/>
          <w:sz w:val="20"/>
          <w:szCs w:val="20"/>
          <w:lang w:val="en-GB"/>
        </w:rPr>
        <w:t>If only one CU can configure F1AP BAP configuration, there seems no special BAP handling on this, since BAP only sees one table configured by one CU.</w:t>
      </w:r>
      <w:r w:rsidRPr="00CD1E22">
        <w:rPr>
          <w:rFonts w:eastAsia="宋体" w:cs="Times New Roman" w:hint="eastAsia"/>
          <w:kern w:val="0"/>
          <w:sz w:val="20"/>
          <w:szCs w:val="20"/>
          <w:lang w:val="en-GB"/>
        </w:rPr>
        <w:t xml:space="preserve"> </w:t>
      </w:r>
    </w:p>
    <w:p w14:paraId="37EBB81D" w14:textId="1AF805BF" w:rsidR="00CD1E22" w:rsidRPr="00CD1E22" w:rsidRDefault="00CD1E22" w:rsidP="00CD1E22">
      <w:pPr>
        <w:widowControl/>
        <w:spacing w:after="180"/>
        <w:jc w:val="left"/>
        <w:rPr>
          <w:rFonts w:eastAsia="宋体" w:cs="Times New Roman"/>
          <w:kern w:val="0"/>
          <w:sz w:val="20"/>
          <w:szCs w:val="20"/>
          <w:lang w:val="en-GB"/>
        </w:rPr>
      </w:pPr>
      <w:r w:rsidRPr="00CD1E22">
        <w:rPr>
          <w:rFonts w:eastAsia="宋体" w:cs="Times New Roman"/>
          <w:kern w:val="0"/>
          <w:sz w:val="20"/>
          <w:szCs w:val="20"/>
          <w:lang w:val="en-GB"/>
        </w:rPr>
        <w:t>If two CU</w:t>
      </w:r>
      <w:r w:rsidR="00DD046B">
        <w:rPr>
          <w:rFonts w:eastAsia="宋体" w:cs="Times New Roman"/>
          <w:kern w:val="0"/>
          <w:sz w:val="20"/>
          <w:szCs w:val="20"/>
          <w:lang w:val="en-GB"/>
        </w:rPr>
        <w:t>s</w:t>
      </w:r>
      <w:r w:rsidRPr="00CD1E22">
        <w:rPr>
          <w:rFonts w:eastAsia="宋体" w:cs="Times New Roman"/>
          <w:kern w:val="0"/>
          <w:sz w:val="20"/>
          <w:szCs w:val="20"/>
          <w:lang w:val="en-GB"/>
        </w:rPr>
        <w:t xml:space="preserve"> can configure F1AP BAP configuration, either we define independent CU specific table in BAP, or RAN3 needs some CU coordination to allow two CUs configure one table in BAP without conflict. For F1-U, the Full TEID can autonomously avoid the conflict. But for non-F1-U, the conflict occurs if the two CU configure different routing ID/bearer mapping for a same Non-UP Traffic Type. </w:t>
      </w:r>
      <w:r w:rsidRPr="00CD1E22">
        <w:rPr>
          <w:rFonts w:eastAsia="宋体" w:cs="Times New Roman" w:hint="eastAsia"/>
          <w:kern w:val="0"/>
          <w:sz w:val="20"/>
          <w:szCs w:val="20"/>
          <w:lang w:val="en-GB"/>
        </w:rPr>
        <w:t>A</w:t>
      </w:r>
      <w:r w:rsidRPr="00CD1E22">
        <w:rPr>
          <w:rFonts w:eastAsia="宋体" w:cs="Times New Roman"/>
          <w:kern w:val="0"/>
          <w:sz w:val="20"/>
          <w:szCs w:val="20"/>
          <w:lang w:val="en-GB"/>
        </w:rPr>
        <w:t>nd, the following NOTE in 38.340 can somehow address F1-C traffic, but not non-F1 and BAP control PDU type.</w:t>
      </w:r>
    </w:p>
    <w:p w14:paraId="6902F1A5" w14:textId="77777777" w:rsidR="00CD1E22" w:rsidRPr="00CD1E22" w:rsidRDefault="00CD1E22" w:rsidP="00CD1E22">
      <w:pPr>
        <w:pStyle w:val="NO"/>
        <w:rPr>
          <w:rFonts w:eastAsia="宋体"/>
          <w:color w:val="auto"/>
          <w:sz w:val="20"/>
          <w:lang w:val="en-GB"/>
        </w:rPr>
      </w:pPr>
      <w:r w:rsidRPr="00CD1E22">
        <w:rPr>
          <w:rFonts w:eastAsia="宋体"/>
          <w:color w:val="auto"/>
          <w:sz w:val="20"/>
          <w:lang w:val="en-GB"/>
        </w:rPr>
        <w:t>NOTE:</w:t>
      </w:r>
      <w:r w:rsidRPr="00CD1E22">
        <w:rPr>
          <w:rFonts w:eastAsia="宋体"/>
          <w:color w:val="auto"/>
          <w:sz w:val="20"/>
          <w:lang w:val="en-GB"/>
        </w:rPr>
        <w:tab/>
        <w:t>Uplink Traffic to Routing ID Mapping Configuration may contain multiple entries for F1-C traffic. It is up to IAB node's implementation to decide which entry is selected.</w:t>
      </w:r>
    </w:p>
    <w:p w14:paraId="0E756DB3" w14:textId="77777777" w:rsidR="00CD1E22" w:rsidRPr="00D9009E" w:rsidRDefault="00CD1E22" w:rsidP="00CD1E22">
      <w:pPr>
        <w:widowControl/>
        <w:spacing w:after="180"/>
        <w:jc w:val="left"/>
        <w:rPr>
          <w:rFonts w:eastAsia="宋体" w:cs="Times New Roman"/>
          <w:kern w:val="0"/>
          <w:sz w:val="20"/>
          <w:szCs w:val="20"/>
          <w:lang w:val="en-GB"/>
        </w:rPr>
      </w:pPr>
      <w:r w:rsidRPr="00D9009E">
        <w:rPr>
          <w:rFonts w:eastAsia="宋体" w:cs="Times New Roman" w:hint="eastAsia"/>
          <w:kern w:val="0"/>
          <w:sz w:val="20"/>
          <w:szCs w:val="20"/>
          <w:lang w:val="en-GB"/>
        </w:rPr>
        <w:t>B</w:t>
      </w:r>
      <w:r w:rsidRPr="00D9009E">
        <w:rPr>
          <w:rFonts w:eastAsia="宋体" w:cs="Times New Roman"/>
          <w:kern w:val="0"/>
          <w:sz w:val="20"/>
          <w:szCs w:val="20"/>
          <w:lang w:val="en-GB"/>
        </w:rPr>
        <w:t xml:space="preserve">ased on the above analyses, we propose: </w:t>
      </w:r>
    </w:p>
    <w:p w14:paraId="7F478F20" w14:textId="38012330" w:rsidR="00044536" w:rsidRDefault="005D37D2" w:rsidP="005D37D2">
      <w:pPr>
        <w:rPr>
          <w:rFonts w:eastAsia="Times New Roman" w:cs="Times New Roman"/>
          <w:b/>
          <w:kern w:val="0"/>
          <w:sz w:val="20"/>
          <w:szCs w:val="20"/>
          <w:lang w:val="en-GB" w:eastAsia="en-US"/>
        </w:rPr>
      </w:pPr>
      <w:r>
        <w:rPr>
          <w:rFonts w:hint="eastAsia"/>
          <w:b/>
          <w:bCs/>
        </w:rPr>
        <w:t>Proposal 1</w:t>
      </w:r>
      <w:r>
        <w:rPr>
          <w:b/>
          <w:bCs/>
        </w:rPr>
        <w:t>b</w:t>
      </w:r>
      <w:r w:rsidR="00CD1E22" w:rsidRPr="000E187A">
        <w:rPr>
          <w:rFonts w:hint="eastAsia"/>
          <w:b/>
          <w:bCs/>
        </w:rPr>
        <w:t xml:space="preserve">: </w:t>
      </w:r>
      <w:r w:rsidR="00CD1E22" w:rsidRPr="005D37D2">
        <w:rPr>
          <w:rFonts w:hint="eastAsia"/>
          <w:b/>
          <w:bCs/>
        </w:rPr>
        <w:t xml:space="preserve">For the upstream data handling at the BAP of mobile IAB MT, </w:t>
      </w:r>
      <w:r w:rsidR="0086041F">
        <w:rPr>
          <w:b/>
          <w:bCs/>
        </w:rPr>
        <w:t xml:space="preserve">RAN2 assume that </w:t>
      </w:r>
      <w:r w:rsidR="00CD1E22" w:rsidRPr="005D37D2">
        <w:rPr>
          <w:rFonts w:hint="eastAsia"/>
          <w:b/>
          <w:bCs/>
        </w:rPr>
        <w:t>the F1AP BAP configuration for each logical DU should be configured/controlled by the DU</w:t>
      </w:r>
      <w:r w:rsidR="00CD1E22" w:rsidRPr="005D37D2">
        <w:rPr>
          <w:b/>
          <w:bCs/>
        </w:rPr>
        <w:t>’</w:t>
      </w:r>
      <w:r w:rsidR="00CD1E22" w:rsidRPr="005D37D2">
        <w:rPr>
          <w:rFonts w:hint="eastAsia"/>
          <w:b/>
          <w:bCs/>
        </w:rPr>
        <w:t>s respective donor-CU via the corresponding F1AP connection</w:t>
      </w:r>
      <w:r w:rsidR="0086041F">
        <w:rPr>
          <w:b/>
          <w:bCs/>
        </w:rPr>
        <w:t xml:space="preserve"> (To be confirmed by RAN3)</w:t>
      </w:r>
      <w:r w:rsidR="00CD1E22" w:rsidRPr="005D37D2">
        <w:rPr>
          <w:rFonts w:hint="eastAsia"/>
          <w:b/>
          <w:bCs/>
        </w:rPr>
        <w:t>.</w:t>
      </w:r>
    </w:p>
    <w:p w14:paraId="4D06F0C2" w14:textId="77CDF185" w:rsidR="00671508" w:rsidRDefault="00671508" w:rsidP="00671508">
      <w:pPr>
        <w:pStyle w:val="2"/>
        <w:rPr>
          <w:rFonts w:ascii="Times New Roman" w:hAnsi="Times New Roman"/>
        </w:rPr>
      </w:pPr>
      <w:r>
        <w:rPr>
          <w:rFonts w:ascii="Times New Roman" w:hAnsi="Times New Roman"/>
        </w:rPr>
        <w:lastRenderedPageBreak/>
        <w:t>2.2</w:t>
      </w:r>
      <w:r w:rsidRPr="007D59D8">
        <w:rPr>
          <w:rFonts w:ascii="Times New Roman" w:hAnsi="Times New Roman"/>
        </w:rPr>
        <w:t xml:space="preserve"> </w:t>
      </w:r>
      <w:r w:rsidR="00B934AC">
        <w:rPr>
          <w:rFonts w:ascii="Times New Roman" w:hAnsi="Times New Roman"/>
        </w:rPr>
        <w:t>Issue 2: Downstream handling at BAP of mobile IAB-MT</w:t>
      </w:r>
      <w:r w:rsidR="00CC3AC0">
        <w:rPr>
          <w:rFonts w:ascii="Times New Roman" w:hAnsi="Times New Roman"/>
        </w:rPr>
        <w:t xml:space="preserve"> (Case 2)</w:t>
      </w:r>
    </w:p>
    <w:p w14:paraId="25E8D985" w14:textId="109D4A27" w:rsidR="00E7721D" w:rsidRPr="00E7721D" w:rsidRDefault="00823C2F" w:rsidP="001576AC">
      <w:pPr>
        <w:widowControl/>
        <w:overflowPunct w:val="0"/>
        <w:autoSpaceDE w:val="0"/>
        <w:autoSpaceDN w:val="0"/>
        <w:adjustRightInd w:val="0"/>
        <w:spacing w:after="120" w:line="300" w:lineRule="auto"/>
        <w:jc w:val="left"/>
        <w:textAlignment w:val="baseline"/>
        <w:rPr>
          <w:rFonts w:eastAsia="宋体" w:cs="Times New Roman"/>
          <w:kern w:val="0"/>
          <w:sz w:val="20"/>
          <w:szCs w:val="20"/>
        </w:rPr>
      </w:pPr>
      <w:r>
        <w:rPr>
          <w:rFonts w:eastAsia="宋体" w:cs="Times New Roman"/>
          <w:kern w:val="0"/>
          <w:sz w:val="20"/>
          <w:szCs w:val="20"/>
          <w:lang w:val="en-GB"/>
        </w:rPr>
        <w:t>The</w:t>
      </w:r>
      <w:r w:rsidR="00E7721D">
        <w:rPr>
          <w:rFonts w:eastAsia="宋体" w:cs="Times New Roman"/>
          <w:kern w:val="0"/>
          <w:sz w:val="20"/>
          <w:szCs w:val="20"/>
          <w:lang w:val="en-GB"/>
        </w:rPr>
        <w:t xml:space="preserve">re is still the downstream handling issue to be clarified: </w:t>
      </w:r>
      <w:r w:rsidR="00E7721D" w:rsidRPr="00E7721D">
        <w:rPr>
          <w:rFonts w:eastAsia="宋体" w:cs="Times New Roman"/>
          <w:kern w:val="0"/>
          <w:sz w:val="20"/>
          <w:szCs w:val="20"/>
          <w:highlight w:val="yellow"/>
          <w:lang w:val="en-GB"/>
        </w:rPr>
        <w:t>How can the RX side of BAP entity at mobile IAB MT knows which logical DU to deliver the received BAP SDU</w:t>
      </w:r>
      <w:r w:rsidR="00E7721D">
        <w:rPr>
          <w:rFonts w:eastAsia="宋体" w:cs="Times New Roman"/>
          <w:kern w:val="0"/>
          <w:sz w:val="20"/>
          <w:szCs w:val="20"/>
          <w:lang w:val="en-GB"/>
        </w:rPr>
        <w:t>, i.e.</w:t>
      </w:r>
      <w:r w:rsidR="00E7721D" w:rsidRPr="00E7721D">
        <w:t xml:space="preserve"> </w:t>
      </w:r>
      <w:r w:rsidR="00E7721D" w:rsidRPr="00E7721D">
        <w:rPr>
          <w:rFonts w:eastAsia="宋体" w:cs="Times New Roman"/>
          <w:kern w:val="0"/>
          <w:sz w:val="20"/>
          <w:szCs w:val="20"/>
          <w:lang w:val="en-GB"/>
        </w:rPr>
        <w:t>differentiating the F1 traffic (from two different donors) to the corresponding logical DU</w:t>
      </w:r>
    </w:p>
    <w:p w14:paraId="03D1598B" w14:textId="77777777" w:rsidR="00E7721D" w:rsidRDefault="00E7721D" w:rsidP="00E7721D">
      <w:pPr>
        <w:widowControl/>
        <w:numPr>
          <w:ilvl w:val="0"/>
          <w:numId w:val="18"/>
        </w:numPr>
        <w:spacing w:beforeLines="50" w:before="120"/>
      </w:pPr>
      <w:r>
        <w:t xml:space="preserve">Option 1: Using different </w:t>
      </w:r>
      <w:r>
        <w:rPr>
          <w:highlight w:val="yellow"/>
        </w:rPr>
        <w:t>BAP address</w:t>
      </w:r>
      <w:r>
        <w:t xml:space="preserve"> configured to each logical DU</w:t>
      </w:r>
    </w:p>
    <w:p w14:paraId="1164DAE1" w14:textId="77777777" w:rsidR="00E7721D" w:rsidRDefault="00E7721D" w:rsidP="00E7721D">
      <w:pPr>
        <w:widowControl/>
        <w:numPr>
          <w:ilvl w:val="1"/>
          <w:numId w:val="18"/>
        </w:numPr>
        <w:spacing w:beforeLines="50" w:before="120"/>
      </w:pPr>
      <w:r>
        <w:t>This requires target logical DU to be configured with a new BAP address, unlike R16/R17.</w:t>
      </w:r>
    </w:p>
    <w:p w14:paraId="652D91C0" w14:textId="77777777" w:rsidR="00E7721D" w:rsidRDefault="00E7721D" w:rsidP="00E7721D">
      <w:pPr>
        <w:widowControl/>
        <w:numPr>
          <w:ilvl w:val="0"/>
          <w:numId w:val="18"/>
        </w:numPr>
        <w:spacing w:beforeLines="50" w:before="120"/>
      </w:pPr>
      <w:r>
        <w:t xml:space="preserve">Option 2: Using different </w:t>
      </w:r>
      <w:r>
        <w:rPr>
          <w:highlight w:val="yellow"/>
        </w:rPr>
        <w:t>IP address(es)</w:t>
      </w:r>
      <w:r>
        <w:t xml:space="preserve"> configured to each logical DU</w:t>
      </w:r>
    </w:p>
    <w:p w14:paraId="203D4C71" w14:textId="77777777" w:rsidR="00E7721D" w:rsidRDefault="00E7721D" w:rsidP="00E7721D">
      <w:pPr>
        <w:widowControl/>
        <w:numPr>
          <w:ilvl w:val="1"/>
          <w:numId w:val="18"/>
        </w:numPr>
        <w:spacing w:beforeLines="50" w:before="120"/>
      </w:pPr>
      <w:r>
        <w:t xml:space="preserve">This means we should use </w:t>
      </w:r>
      <w:r>
        <w:rPr>
          <w:highlight w:val="yellow"/>
        </w:rPr>
        <w:t>separate IP address allocation for each logical DU.</w:t>
      </w:r>
      <w:r>
        <w:t xml:space="preserve"> While, the current RAN3 discussion has no assumption here yet.  </w:t>
      </w:r>
    </w:p>
    <w:p w14:paraId="6AAA4EC9" w14:textId="77777777" w:rsidR="00E7721D" w:rsidRDefault="00E7721D" w:rsidP="00E7721D">
      <w:pPr>
        <w:widowControl/>
        <w:numPr>
          <w:ilvl w:val="2"/>
          <w:numId w:val="18"/>
        </w:numPr>
        <w:spacing w:beforeLines="50" w:before="120"/>
      </w:pPr>
      <w:r>
        <w:t>If option 2 is adopted, some discussion on how to request/allocate the new IP address specific for target logical DU is needed.</w:t>
      </w:r>
      <w:r>
        <w:rPr>
          <w:u w:val="single"/>
        </w:rPr>
        <w:t xml:space="preserve"> </w:t>
      </w:r>
    </w:p>
    <w:p w14:paraId="229D56A7" w14:textId="77777777" w:rsidR="00E7721D" w:rsidRDefault="00E7721D" w:rsidP="00E7721D">
      <w:pPr>
        <w:widowControl/>
        <w:numPr>
          <w:ilvl w:val="1"/>
          <w:numId w:val="18"/>
        </w:numPr>
        <w:spacing w:beforeLines="50" w:before="120"/>
      </w:pPr>
      <w:r>
        <w:t>Opt 2a: BAP operation at MT side captures this behaviors</w:t>
      </w:r>
    </w:p>
    <w:p w14:paraId="09121226" w14:textId="77777777" w:rsidR="00E7721D" w:rsidRDefault="00E7721D" w:rsidP="00E7721D">
      <w:pPr>
        <w:widowControl/>
        <w:numPr>
          <w:ilvl w:val="2"/>
          <w:numId w:val="18"/>
        </w:numPr>
        <w:spacing w:beforeLines="50" w:before="120"/>
      </w:pPr>
      <w:r>
        <w:t>i.e. “</w:t>
      </w:r>
      <w:r>
        <w:rPr>
          <w:lang w:eastAsia="ko-KR"/>
        </w:rPr>
        <w:t>-</w:t>
      </w:r>
      <w:r>
        <w:t>remove the BAP header of this BAP Data PDU and deliver the BAP SDU to upper layers</w:t>
      </w:r>
      <w:r>
        <w:rPr>
          <w:color w:val="FF0000"/>
          <w:u w:val="single"/>
        </w:rPr>
        <w:t xml:space="preserve"> of the corresponding DU, based on xxx</w:t>
      </w:r>
      <w:r>
        <w:t>”</w:t>
      </w:r>
    </w:p>
    <w:p w14:paraId="154EE83D" w14:textId="77777777" w:rsidR="00E7721D" w:rsidRDefault="00E7721D" w:rsidP="00E7721D">
      <w:pPr>
        <w:widowControl/>
        <w:numPr>
          <w:ilvl w:val="1"/>
          <w:numId w:val="18"/>
        </w:numPr>
        <w:spacing w:beforeLines="50" w:before="120"/>
      </w:pPr>
      <w:r>
        <w:t>Opt 2b: Left to DU side upper layer implementation</w:t>
      </w:r>
    </w:p>
    <w:p w14:paraId="0F303AFD" w14:textId="77777777" w:rsidR="00E7721D" w:rsidRDefault="00E7721D" w:rsidP="00E7721D">
      <w:pPr>
        <w:widowControl/>
        <w:numPr>
          <w:ilvl w:val="2"/>
          <w:numId w:val="18"/>
        </w:numPr>
        <w:spacing w:beforeLines="50" w:before="120"/>
      </w:pPr>
      <w:r>
        <w:t>i.e. “</w:t>
      </w:r>
      <w:r>
        <w:rPr>
          <w:lang w:eastAsia="ko-KR"/>
        </w:rPr>
        <w:t>-</w:t>
      </w:r>
      <w:r>
        <w:t>remove the BAP header of this BAP Data PDU and deliver the BAP SDU to upper layers”, and the IP layer can deliver the data to corresponding F1AP entity based on the IP address by its implementation.</w:t>
      </w:r>
    </w:p>
    <w:p w14:paraId="4853B2AF" w14:textId="77777777" w:rsidR="00E7721D" w:rsidRDefault="00E7721D" w:rsidP="00E7721D">
      <w:pPr>
        <w:widowControl/>
        <w:numPr>
          <w:ilvl w:val="0"/>
          <w:numId w:val="18"/>
        </w:numPr>
        <w:spacing w:beforeLines="50" w:before="120"/>
      </w:pPr>
      <w:r>
        <w:t xml:space="preserve">Option 3: Using different </w:t>
      </w:r>
      <w:r>
        <w:rPr>
          <w:highlight w:val="yellow"/>
        </w:rPr>
        <w:t>IP address(es)</w:t>
      </w:r>
      <w:r>
        <w:t xml:space="preserve"> of different CU</w:t>
      </w:r>
    </w:p>
    <w:p w14:paraId="11FD3C6F" w14:textId="638F08E1" w:rsidR="00D552B5" w:rsidRDefault="00D552B5" w:rsidP="00D552B5">
      <w:pPr>
        <w:widowControl/>
        <w:numPr>
          <w:ilvl w:val="1"/>
          <w:numId w:val="18"/>
        </w:numPr>
        <w:spacing w:beforeLines="50" w:before="120"/>
      </w:pPr>
      <w:r w:rsidRPr="00D552B5">
        <w:t>We can rely on F1AP layer to differentiate the received message to corresponding F1AP entity by considering the source/destination IP address. Similar principle can be used for F1-U data.</w:t>
      </w:r>
    </w:p>
    <w:p w14:paraId="213BEF44" w14:textId="2866A200" w:rsidR="00D552B5" w:rsidRPr="0055654A" w:rsidRDefault="00D552B5" w:rsidP="00825DE7">
      <w:pPr>
        <w:widowControl/>
        <w:numPr>
          <w:ilvl w:val="1"/>
          <w:numId w:val="18"/>
        </w:numPr>
        <w:spacing w:beforeLines="50" w:before="120"/>
      </w:pPr>
      <w:r w:rsidRPr="00D552B5">
        <w:t>At least the source IP addresses (CU IP address) are different between two logical DUs, but it is not explicitly mentioned on whether the destination IP address (DU IP address) has to be different or same between two logical DUs.</w:t>
      </w:r>
    </w:p>
    <w:p w14:paraId="04619AD1" w14:textId="77777777" w:rsidR="00825DE7" w:rsidRDefault="00825DE7" w:rsidP="00825DE7">
      <w:pPr>
        <w:spacing w:after="180"/>
        <w:jc w:val="left"/>
        <w:rPr>
          <w:rFonts w:eastAsia="宋体"/>
          <w:sz w:val="20"/>
          <w:szCs w:val="20"/>
        </w:rPr>
      </w:pPr>
    </w:p>
    <w:p w14:paraId="41515BCC" w14:textId="77777777" w:rsidR="00825DE7" w:rsidRPr="00825DE7" w:rsidRDefault="00825DE7" w:rsidP="00825DE7">
      <w:pPr>
        <w:spacing w:after="180"/>
        <w:jc w:val="left"/>
        <w:rPr>
          <w:rFonts w:eastAsia="宋体"/>
          <w:sz w:val="20"/>
          <w:szCs w:val="20"/>
        </w:rPr>
      </w:pPr>
      <w:r w:rsidRPr="00825DE7">
        <w:rPr>
          <w:rFonts w:eastAsia="宋体" w:hint="eastAsia"/>
          <w:sz w:val="20"/>
          <w:szCs w:val="20"/>
        </w:rPr>
        <w:t>B</w:t>
      </w:r>
      <w:r w:rsidRPr="00825DE7">
        <w:rPr>
          <w:rFonts w:eastAsia="宋体"/>
          <w:sz w:val="20"/>
          <w:szCs w:val="20"/>
        </w:rPr>
        <w:t xml:space="preserve">ased on the above analyses, we propose: </w:t>
      </w:r>
    </w:p>
    <w:p w14:paraId="24227EC3" w14:textId="1F387111" w:rsidR="008F4142" w:rsidRPr="00E94464" w:rsidRDefault="00825DE7" w:rsidP="00E94464">
      <w:pPr>
        <w:widowControl/>
        <w:spacing w:after="180"/>
        <w:jc w:val="left"/>
        <w:rPr>
          <w:rFonts w:ascii="Times" w:hAnsi="Times" w:cs="Times New Roman"/>
          <w:b/>
          <w:bCs/>
          <w:kern w:val="0"/>
          <w:sz w:val="22"/>
          <w:szCs w:val="24"/>
          <w:lang w:val="en-GB"/>
        </w:rPr>
      </w:pPr>
      <w:r w:rsidRPr="00825DE7">
        <w:rPr>
          <w:rFonts w:ascii="Times" w:eastAsia="Batang" w:hAnsi="Times" w:cs="Times New Roman"/>
          <w:b/>
          <w:bCs/>
          <w:kern w:val="0"/>
          <w:sz w:val="22"/>
          <w:szCs w:val="24"/>
          <w:lang w:val="en-GB"/>
        </w:rPr>
        <w:t>Proposal 2: For the downstream data handling arriving at the mobile IAB node, RAN2 assume upper layers (e.g. IP layer) can differentiate the data to different logical DUs based on the IP address</w:t>
      </w:r>
      <w:r w:rsidR="00974325">
        <w:rPr>
          <w:rFonts w:ascii="Times" w:eastAsia="Batang" w:hAnsi="Times" w:cs="Times New Roman"/>
          <w:b/>
          <w:bCs/>
          <w:kern w:val="0"/>
          <w:sz w:val="22"/>
          <w:szCs w:val="24"/>
          <w:lang w:val="en-GB"/>
        </w:rPr>
        <w:t xml:space="preserve"> (i.e. no need to introduce </w:t>
      </w:r>
      <w:r w:rsidR="00974325" w:rsidRPr="00452D9F">
        <w:rPr>
          <w:rFonts w:ascii="Times" w:eastAsia="Batang" w:hAnsi="Times" w:cs="Times New Roman"/>
          <w:b/>
          <w:bCs/>
          <w:kern w:val="0"/>
          <w:sz w:val="22"/>
          <w:szCs w:val="24"/>
          <w:lang w:val="en-GB"/>
        </w:rPr>
        <w:t>logical-DU-specific</w:t>
      </w:r>
      <w:r w:rsidR="00974325">
        <w:rPr>
          <w:rFonts w:ascii="Times" w:eastAsia="Batang" w:hAnsi="Times" w:cs="Times New Roman"/>
          <w:b/>
          <w:bCs/>
          <w:kern w:val="0"/>
          <w:sz w:val="22"/>
          <w:szCs w:val="24"/>
          <w:lang w:val="en-GB"/>
        </w:rPr>
        <w:t xml:space="preserve"> BAP address)</w:t>
      </w:r>
      <w:r w:rsidR="00974325" w:rsidRPr="00974325">
        <w:rPr>
          <w:b/>
          <w:bCs/>
        </w:rPr>
        <w:t xml:space="preserve"> </w:t>
      </w:r>
      <w:r w:rsidR="00974325">
        <w:rPr>
          <w:b/>
          <w:bCs/>
        </w:rPr>
        <w:t>(To be confirmed by RAN3)</w:t>
      </w:r>
      <w:r w:rsidRPr="00825DE7">
        <w:rPr>
          <w:rFonts w:ascii="Times" w:eastAsia="Batang" w:hAnsi="Times" w:cs="Times New Roman"/>
          <w:b/>
          <w:bCs/>
          <w:kern w:val="0"/>
          <w:sz w:val="22"/>
          <w:szCs w:val="24"/>
          <w:lang w:val="en-GB"/>
        </w:rPr>
        <w:t>.</w:t>
      </w: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Conclusion</w:t>
      </w:r>
    </w:p>
    <w:p w14:paraId="155F3EFC" w14:textId="34AEBB2C" w:rsidR="00780897" w:rsidRPr="000C4935" w:rsidRDefault="00780897" w:rsidP="00780897">
      <w:pPr>
        <w:spacing w:line="300" w:lineRule="auto"/>
        <w:jc w:val="left"/>
        <w:rPr>
          <w:rFonts w:eastAsia="宋体" w:cs="Times New Roman"/>
          <w:kern w:val="0"/>
          <w:sz w:val="20"/>
          <w:szCs w:val="20"/>
          <w:lang w:val="en-GB"/>
        </w:rPr>
      </w:pPr>
      <w:r w:rsidRPr="000C4935">
        <w:rPr>
          <w:rFonts w:eastAsia="宋体" w:cs="Times New Roman"/>
          <w:kern w:val="0"/>
          <w:sz w:val="20"/>
          <w:szCs w:val="20"/>
          <w:lang w:val="en-GB"/>
        </w:rPr>
        <w:t xml:space="preserve">This paper mainly discusses the remaining </w:t>
      </w:r>
      <w:r w:rsidR="00157E3B" w:rsidRPr="00157E3B">
        <w:rPr>
          <w:rFonts w:eastAsia="宋体" w:cs="Times New Roman"/>
          <w:kern w:val="0"/>
          <w:sz w:val="20"/>
          <w:szCs w:val="20"/>
          <w:lang w:val="en-GB"/>
        </w:rPr>
        <w:t>BAP open issue</w:t>
      </w:r>
      <w:r w:rsidR="00157E3B">
        <w:rPr>
          <w:rFonts w:eastAsia="宋体" w:cs="Times New Roman"/>
          <w:kern w:val="0"/>
          <w:sz w:val="20"/>
          <w:szCs w:val="20"/>
          <w:lang w:val="en-GB"/>
        </w:rPr>
        <w:t>s</w:t>
      </w:r>
      <w:r w:rsidR="00157E3B" w:rsidRPr="00157E3B">
        <w:rPr>
          <w:rFonts w:eastAsia="宋体" w:cs="Times New Roman"/>
          <w:kern w:val="0"/>
          <w:sz w:val="20"/>
          <w:szCs w:val="20"/>
          <w:lang w:val="en-GB"/>
        </w:rPr>
        <w:t xml:space="preserve"> due to the DU migration (two logical DUs) in R18 mobile IAB</w:t>
      </w:r>
      <w:r w:rsidRPr="000C4935">
        <w:rPr>
          <w:rFonts w:eastAsia="宋体" w:cs="Times New Roman"/>
          <w:kern w:val="0"/>
          <w:sz w:val="20"/>
          <w:szCs w:val="20"/>
          <w:lang w:val="en-GB"/>
        </w:rPr>
        <w:t>, and the following observations and proposals are provided,</w:t>
      </w:r>
    </w:p>
    <w:p w14:paraId="390A22F7" w14:textId="77777777" w:rsidR="00452D9F" w:rsidRDefault="00452D9F" w:rsidP="008C0477">
      <w:pPr>
        <w:widowControl/>
        <w:spacing w:after="180"/>
        <w:jc w:val="left"/>
        <w:rPr>
          <w:rFonts w:ascii="Times" w:eastAsia="Batang" w:hAnsi="Times" w:cs="Times New Roman"/>
          <w:b/>
          <w:bCs/>
          <w:kern w:val="0"/>
          <w:sz w:val="22"/>
          <w:szCs w:val="24"/>
          <w:lang w:val="en-GB"/>
        </w:rPr>
      </w:pPr>
      <w:r w:rsidRPr="00452D9F">
        <w:rPr>
          <w:rFonts w:ascii="Times" w:eastAsia="Batang" w:hAnsi="Times" w:cs="Times New Roman"/>
          <w:b/>
          <w:bCs/>
          <w:kern w:val="0"/>
          <w:sz w:val="22"/>
          <w:szCs w:val="24"/>
          <w:lang w:val="en-GB"/>
        </w:rPr>
        <w:t>Proposal 1a: 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244D2B45" w14:textId="77777777" w:rsidR="00BA29CC" w:rsidRDefault="00BA29CC" w:rsidP="00BA29CC">
      <w:pPr>
        <w:rPr>
          <w:b/>
          <w:bCs/>
        </w:rPr>
      </w:pPr>
      <w:r>
        <w:rPr>
          <w:rFonts w:hint="eastAsia"/>
          <w:b/>
          <w:bCs/>
        </w:rPr>
        <w:t>Proposal 1</w:t>
      </w:r>
      <w:r>
        <w:rPr>
          <w:b/>
          <w:bCs/>
        </w:rPr>
        <w:t>b</w:t>
      </w:r>
      <w:r w:rsidRPr="000E187A">
        <w:rPr>
          <w:rFonts w:hint="eastAsia"/>
          <w:b/>
          <w:bCs/>
        </w:rPr>
        <w:t xml:space="preserve">: </w:t>
      </w:r>
      <w:r w:rsidRPr="005D37D2">
        <w:rPr>
          <w:rFonts w:hint="eastAsia"/>
          <w:b/>
          <w:bCs/>
        </w:rPr>
        <w:t xml:space="preserve">For the upstream data handling at the BAP of mobile IAB MT, </w:t>
      </w:r>
      <w:r>
        <w:rPr>
          <w:b/>
          <w:bCs/>
        </w:rPr>
        <w:t xml:space="preserve">RAN2 assume that </w:t>
      </w:r>
      <w:r w:rsidRPr="005D37D2">
        <w:rPr>
          <w:rFonts w:hint="eastAsia"/>
          <w:b/>
          <w:bCs/>
        </w:rPr>
        <w:t>the F1AP BAP configuration for each logical DU should be configured/controlled by the DU</w:t>
      </w:r>
      <w:r w:rsidRPr="005D37D2">
        <w:rPr>
          <w:b/>
          <w:bCs/>
        </w:rPr>
        <w:t>’</w:t>
      </w:r>
      <w:r w:rsidRPr="005D37D2">
        <w:rPr>
          <w:rFonts w:hint="eastAsia"/>
          <w:b/>
          <w:bCs/>
        </w:rPr>
        <w:t>s respective donor-CU via the corresponding F1AP connection</w:t>
      </w:r>
      <w:r>
        <w:rPr>
          <w:b/>
          <w:bCs/>
        </w:rPr>
        <w:t xml:space="preserve"> (To be confirmed by RAN3)</w:t>
      </w:r>
      <w:r w:rsidRPr="005D37D2">
        <w:rPr>
          <w:rFonts w:hint="eastAsia"/>
          <w:b/>
          <w:bCs/>
        </w:rPr>
        <w:t>.</w:t>
      </w:r>
    </w:p>
    <w:p w14:paraId="0E2C11B9" w14:textId="77777777" w:rsidR="00ED1E99" w:rsidRDefault="00ED1E99" w:rsidP="00BA29CC">
      <w:pPr>
        <w:rPr>
          <w:rFonts w:eastAsia="Times New Roman" w:cs="Times New Roman"/>
          <w:b/>
          <w:kern w:val="0"/>
          <w:sz w:val="20"/>
          <w:szCs w:val="20"/>
          <w:lang w:val="en-GB" w:eastAsia="en-US"/>
        </w:rPr>
      </w:pPr>
    </w:p>
    <w:p w14:paraId="62295F68" w14:textId="0A34EFA8" w:rsidR="005800EE" w:rsidRPr="00B10A77" w:rsidRDefault="00B10A77" w:rsidP="008C0477">
      <w:pPr>
        <w:widowControl/>
        <w:spacing w:after="180"/>
        <w:jc w:val="left"/>
        <w:rPr>
          <w:rFonts w:ascii="Times" w:hAnsi="Times" w:cs="Times New Roman"/>
          <w:b/>
          <w:bCs/>
          <w:kern w:val="0"/>
          <w:sz w:val="22"/>
          <w:szCs w:val="24"/>
          <w:lang w:val="en-GB"/>
        </w:rPr>
      </w:pPr>
      <w:r w:rsidRPr="00825DE7">
        <w:rPr>
          <w:rFonts w:ascii="Times" w:eastAsia="Batang" w:hAnsi="Times" w:cs="Times New Roman"/>
          <w:b/>
          <w:bCs/>
          <w:kern w:val="0"/>
          <w:sz w:val="22"/>
          <w:szCs w:val="24"/>
          <w:lang w:val="en-GB"/>
        </w:rPr>
        <w:t>Proposal 2: For the downstream data handling arriving at the mobile IAB node, RAN2 assume upper layers (e.g. IP layer) can differentiate the data to different logical DUs based on the IP address</w:t>
      </w:r>
      <w:r>
        <w:rPr>
          <w:rFonts w:ascii="Times" w:eastAsia="Batang" w:hAnsi="Times" w:cs="Times New Roman"/>
          <w:b/>
          <w:bCs/>
          <w:kern w:val="0"/>
          <w:sz w:val="22"/>
          <w:szCs w:val="24"/>
          <w:lang w:val="en-GB"/>
        </w:rPr>
        <w:t xml:space="preserve"> (i.e. no need to introduce </w:t>
      </w:r>
      <w:r w:rsidRPr="00452D9F">
        <w:rPr>
          <w:rFonts w:ascii="Times" w:eastAsia="Batang" w:hAnsi="Times" w:cs="Times New Roman"/>
          <w:b/>
          <w:bCs/>
          <w:kern w:val="0"/>
          <w:sz w:val="22"/>
          <w:szCs w:val="24"/>
          <w:lang w:val="en-GB"/>
        </w:rPr>
        <w:t>logical-DU-specific</w:t>
      </w:r>
      <w:r>
        <w:rPr>
          <w:rFonts w:ascii="Times" w:eastAsia="Batang" w:hAnsi="Times" w:cs="Times New Roman"/>
          <w:b/>
          <w:bCs/>
          <w:kern w:val="0"/>
          <w:sz w:val="22"/>
          <w:szCs w:val="24"/>
          <w:lang w:val="en-GB"/>
        </w:rPr>
        <w:t xml:space="preserve"> BAP address)</w:t>
      </w:r>
      <w:r w:rsidRPr="00974325">
        <w:rPr>
          <w:b/>
          <w:bCs/>
        </w:rPr>
        <w:t xml:space="preserve"> </w:t>
      </w:r>
      <w:r>
        <w:rPr>
          <w:b/>
          <w:bCs/>
        </w:rPr>
        <w:t>(To be confirmed by RAN3)</w:t>
      </w:r>
      <w:r w:rsidRPr="00825DE7">
        <w:rPr>
          <w:rFonts w:ascii="Times" w:eastAsia="Batang" w:hAnsi="Times" w:cs="Times New Roman"/>
          <w:b/>
          <w:bCs/>
          <w:kern w:val="0"/>
          <w:sz w:val="22"/>
          <w:szCs w:val="24"/>
          <w:lang w:val="en-GB"/>
        </w:rPr>
        <w:t>.</w:t>
      </w:r>
    </w:p>
    <w:p w14:paraId="79732FC2" w14:textId="0862AF43" w:rsidR="003C5A0F" w:rsidRDefault="0067355F" w:rsidP="0036539A">
      <w:pPr>
        <w:pStyle w:val="1"/>
        <w:numPr>
          <w:ilvl w:val="0"/>
          <w:numId w:val="10"/>
        </w:numPr>
        <w:tabs>
          <w:tab w:val="num" w:pos="432"/>
        </w:tabs>
        <w:ind w:left="432" w:hanging="432"/>
        <w:textAlignment w:val="auto"/>
        <w:rPr>
          <w:rFonts w:ascii="Times New Roman" w:eastAsia="Times New Roman" w:hAnsi="Times New Roman"/>
          <w:lang w:eastAsia="en-US"/>
        </w:rPr>
      </w:pPr>
      <w:r>
        <w:rPr>
          <w:rFonts w:ascii="Times New Roman" w:eastAsia="Times New Roman" w:hAnsi="Times New Roman"/>
          <w:lang w:eastAsia="en-US"/>
        </w:rPr>
        <w:lastRenderedPageBreak/>
        <w:t>Annex</w:t>
      </w:r>
      <w:r w:rsidR="00B934AC">
        <w:rPr>
          <w:rFonts w:ascii="Times New Roman" w:eastAsia="Times New Roman" w:hAnsi="Times New Roman"/>
          <w:lang w:eastAsia="en-US"/>
        </w:rPr>
        <w:t xml:space="preserve"> (some offline comments)</w:t>
      </w:r>
    </w:p>
    <w:p w14:paraId="65BB9B3B" w14:textId="73DCA204" w:rsidR="0067355F" w:rsidRDefault="0067355F" w:rsidP="0067355F">
      <w:pPr>
        <w:rPr>
          <w:lang w:val="en-GB"/>
        </w:rPr>
      </w:pPr>
      <w:r>
        <w:rPr>
          <w:rFonts w:hint="eastAsia"/>
          <w:lang w:val="en-GB"/>
        </w:rPr>
        <w:t>W</w:t>
      </w:r>
      <w:r>
        <w:rPr>
          <w:lang w:val="en-GB"/>
        </w:rPr>
        <w:t xml:space="preserve">e received some offline comments on the </w:t>
      </w:r>
      <w:r w:rsidR="00B934AC">
        <w:rPr>
          <w:lang w:val="en-GB"/>
        </w:rPr>
        <w:t>above</w:t>
      </w:r>
      <w:r w:rsidR="00F33B09">
        <w:rPr>
          <w:lang w:val="en-GB"/>
        </w:rPr>
        <w:t xml:space="preserve"> discussion, which are highly appreciated and captured below.</w:t>
      </w:r>
    </w:p>
    <w:p w14:paraId="37B1C9E3" w14:textId="77777777" w:rsidR="00B934AC" w:rsidRPr="00A94F95" w:rsidRDefault="00B934AC" w:rsidP="00A94F95">
      <w:pPr>
        <w:pStyle w:val="2"/>
        <w:rPr>
          <w:rFonts w:ascii="Times New Roman" w:hAnsi="Times New Roman"/>
        </w:rPr>
      </w:pPr>
      <w:r w:rsidRPr="00A94F95">
        <w:rPr>
          <w:rFonts w:ascii="Times New Roman" w:hAnsi="Times New Roman"/>
        </w:rPr>
        <w:t>General Comments</w:t>
      </w:r>
    </w:p>
    <w:tbl>
      <w:tblPr>
        <w:tblW w:w="0" w:type="auto"/>
        <w:tblCellMar>
          <w:left w:w="0" w:type="dxa"/>
          <w:right w:w="0" w:type="dxa"/>
        </w:tblCellMar>
        <w:tblLook w:val="04A0" w:firstRow="1" w:lastRow="0" w:firstColumn="1" w:lastColumn="0" w:noHBand="0" w:noVBand="1"/>
      </w:tblPr>
      <w:tblGrid>
        <w:gridCol w:w="1083"/>
        <w:gridCol w:w="8535"/>
      </w:tblGrid>
      <w:tr w:rsidR="00B934AC" w:rsidRPr="00B934AC" w14:paraId="7544AE97" w14:textId="77777777" w:rsidTr="00F87D78">
        <w:tc>
          <w:tcPr>
            <w:tcW w:w="10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4878810" w14:textId="415D13BB"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QC</w:t>
            </w:r>
          </w:p>
        </w:tc>
        <w:tc>
          <w:tcPr>
            <w:tcW w:w="853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E7BCACB"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I believe the BAP-related issues can be handled by using existing Rel-16/17 procedures. Case 2 is in RAN3 scope and outside of BAP.</w:t>
            </w:r>
          </w:p>
          <w:p w14:paraId="2E1FA6B0"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The two scenarios shown in the figures are symmetrical (even if the figures do not look symmetrical). Let’s take the left figure:</w:t>
            </w:r>
          </w:p>
          <w:p w14:paraId="0F4A78B8" w14:textId="77777777" w:rsidR="00B934AC" w:rsidRPr="00B934AC" w:rsidRDefault="00B934AC" w:rsidP="00B934AC">
            <w:pPr>
              <w:widowControl/>
              <w:spacing w:beforeLines="50" w:before="120" w:line="231" w:lineRule="atLeast"/>
              <w:ind w:hanging="36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The IAB-MT is RRC connected to CU1,</w:t>
            </w:r>
          </w:p>
          <w:p w14:paraId="3705E8F6" w14:textId="77777777" w:rsidR="00B934AC" w:rsidRPr="00B934AC" w:rsidRDefault="00B934AC" w:rsidP="00B934AC">
            <w:pPr>
              <w:widowControl/>
              <w:spacing w:beforeLines="50" w:before="120" w:line="231" w:lineRule="atLeast"/>
              <w:ind w:hanging="36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The two logical IAB-DUs, IAB-DU3a and IAB-DU3b, have F1 connections to CU1 and CU2, respectively.</w:t>
            </w:r>
          </w:p>
          <w:p w14:paraId="78C6EF18" w14:textId="77777777" w:rsidR="00B934AC" w:rsidRPr="00B934AC" w:rsidRDefault="00B934AC" w:rsidP="00B934AC">
            <w:pPr>
              <w:widowControl/>
              <w:spacing w:beforeLines="50" w:before="120" w:line="231" w:lineRule="atLeast"/>
              <w:ind w:hanging="36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Both F1 connections are routed via donor-DU1.</w:t>
            </w:r>
          </w:p>
          <w:p w14:paraId="02CF61BC"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In the right figure, everything is flipped. It is therefore sufficient to discuss the matter for the left figure.</w:t>
            </w:r>
          </w:p>
          <w:p w14:paraId="68E52011"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w:t>
            </w:r>
          </w:p>
          <w:p w14:paraId="390C23EA"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We observe the following:</w:t>
            </w:r>
          </w:p>
          <w:p w14:paraId="21CA9C87" w14:textId="77777777" w:rsidR="00B934AC" w:rsidRPr="00B934AC" w:rsidRDefault="00B934AC" w:rsidP="00B934AC">
            <w:pPr>
              <w:widowControl/>
              <w:spacing w:beforeLines="50" w:before="120"/>
              <w:ind w:hanging="36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The IAB-node is single-connected.</w:t>
            </w:r>
          </w:p>
          <w:p w14:paraId="74E3BCAF" w14:textId="77777777" w:rsidR="00B934AC" w:rsidRPr="00B934AC" w:rsidRDefault="00B934AC" w:rsidP="00B934AC">
            <w:pPr>
              <w:widowControl/>
              <w:spacing w:beforeLines="50" w:before="120"/>
              <w:ind w:hanging="36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For IAB-DU3a, the IAB-node is </w:t>
            </w:r>
            <w:r w:rsidRPr="00B934AC">
              <w:rPr>
                <w:rFonts w:eastAsia="Times New Roman" w:cs="Times New Roman"/>
                <w:kern w:val="0"/>
                <w:sz w:val="20"/>
                <w:szCs w:val="20"/>
                <w:highlight w:val="yellow"/>
                <w:lang w:val="en-GB" w:eastAsia="en-US"/>
              </w:rPr>
              <w:t>NOT a boundary node</w:t>
            </w:r>
            <w:r w:rsidRPr="00B934AC">
              <w:rPr>
                <w:rFonts w:eastAsia="Times New Roman" w:cs="Times New Roman"/>
                <w:kern w:val="0"/>
                <w:sz w:val="20"/>
                <w:szCs w:val="20"/>
                <w:lang w:val="en-GB" w:eastAsia="en-US"/>
              </w:rPr>
              <w:t> since the F1 terminating and non-F1-terminating donor are the same, i.e., CU1. Therefore, we can use Rel-16 principles.</w:t>
            </w:r>
          </w:p>
          <w:p w14:paraId="5FCA7704" w14:textId="77777777" w:rsidR="00B934AC" w:rsidRPr="00B934AC" w:rsidRDefault="00B934AC" w:rsidP="00B934AC">
            <w:pPr>
              <w:widowControl/>
              <w:spacing w:beforeLines="50" w:before="120"/>
              <w:ind w:hanging="36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For IAB-DU3b, the IAB-node IS a</w:t>
            </w:r>
            <w:r w:rsidRPr="00B934AC">
              <w:rPr>
                <w:rFonts w:eastAsia="Times New Roman" w:cs="Times New Roman"/>
                <w:kern w:val="0"/>
                <w:sz w:val="20"/>
                <w:szCs w:val="20"/>
                <w:highlight w:val="yellow"/>
                <w:lang w:val="en-GB" w:eastAsia="en-US"/>
              </w:rPr>
              <w:t>s a boundary node</w:t>
            </w:r>
            <w:r w:rsidRPr="00B934AC">
              <w:rPr>
                <w:rFonts w:eastAsia="Times New Roman" w:cs="Times New Roman"/>
                <w:kern w:val="0"/>
                <w:sz w:val="20"/>
                <w:szCs w:val="20"/>
                <w:lang w:val="en-GB" w:eastAsia="en-US"/>
              </w:rPr>
              <w:t> with CU1 being the non-F1-terminating donor and CU2 the F1-terminating donor.</w:t>
            </w:r>
          </w:p>
        </w:tc>
      </w:tr>
      <w:tr w:rsidR="00B934AC" w:rsidRPr="00B934AC" w14:paraId="52B3276A" w14:textId="77777777" w:rsidTr="00F87D78">
        <w:tc>
          <w:tcPr>
            <w:tcW w:w="10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7D6C79" w14:textId="04543759"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Huawei</w:t>
            </w:r>
          </w:p>
        </w:tc>
        <w:tc>
          <w:tcPr>
            <w:tcW w:w="8535" w:type="dxa"/>
            <w:tcBorders>
              <w:top w:val="nil"/>
              <w:left w:val="nil"/>
              <w:bottom w:val="single" w:sz="8" w:space="0" w:color="000000"/>
              <w:right w:val="single" w:sz="8" w:space="0" w:color="000000"/>
            </w:tcBorders>
            <w:tcMar>
              <w:top w:w="0" w:type="dxa"/>
              <w:left w:w="108" w:type="dxa"/>
              <w:bottom w:w="0" w:type="dxa"/>
              <w:right w:w="108" w:type="dxa"/>
            </w:tcMar>
            <w:hideMark/>
          </w:tcPr>
          <w:p w14:paraId="01B73B9F"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Reply to above:</w:t>
            </w:r>
          </w:p>
          <w:p w14:paraId="6D76F82F"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I agree we have the basic principles to reuse.</w:t>
            </w:r>
          </w:p>
          <w:p w14:paraId="081C107A"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I assume there is only one BAP entity at mobile IAB MT. In R17, </w:t>
            </w:r>
            <w:r w:rsidRPr="00B934AC">
              <w:rPr>
                <w:rFonts w:eastAsia="Times New Roman" w:cs="Times New Roman"/>
                <w:kern w:val="0"/>
                <w:sz w:val="20"/>
                <w:szCs w:val="20"/>
                <w:highlight w:val="yellow"/>
                <w:lang w:val="en-GB" w:eastAsia="en-US"/>
              </w:rPr>
              <w:t>the 1st “NOT a boundary node” and the 2nd “a boundary node” will never be the same IAB-node</w:t>
            </w:r>
            <w:r w:rsidRPr="00B934AC">
              <w:rPr>
                <w:rFonts w:eastAsia="Times New Roman" w:cs="Times New Roman"/>
                <w:kern w:val="0"/>
                <w:sz w:val="20"/>
                <w:szCs w:val="20"/>
                <w:lang w:val="en-GB" w:eastAsia="en-US"/>
              </w:rPr>
              <w:t xml:space="preserve"> with single connection. I guess that’s something different for R18 mobile IAB-node.</w:t>
            </w:r>
          </w:p>
          <w:p w14:paraId="37B0C401"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noProof/>
                <w:kern w:val="0"/>
                <w:sz w:val="20"/>
                <w:szCs w:val="20"/>
              </w:rPr>
              <w:drawing>
                <wp:inline distT="0" distB="0" distL="0" distR="0" wp14:anchorId="6D67356D" wp14:editId="2B797B27">
                  <wp:extent cx="1308100" cy="2413000"/>
                  <wp:effectExtent l="0" t="0" r="6350" b="6350"/>
                  <wp:docPr id="4" name="图片 4" descr="cid:image003.jpg@01D91167.0A524D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3.jpg@01D91167.0A524DD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08100" cy="2413000"/>
                          </a:xfrm>
                          <a:prstGeom prst="rect">
                            <a:avLst/>
                          </a:prstGeom>
                          <a:noFill/>
                          <a:ln>
                            <a:noFill/>
                          </a:ln>
                        </pic:spPr>
                      </pic:pic>
                    </a:graphicData>
                  </a:graphic>
                </wp:inline>
              </w:drawing>
            </w:r>
            <w:r w:rsidRPr="00B934AC">
              <w:rPr>
                <w:rFonts w:eastAsia="Times New Roman" w:cs="Times New Roman"/>
                <w:kern w:val="0"/>
                <w:sz w:val="20"/>
                <w:szCs w:val="20"/>
                <w:lang w:val="en-GB" w:eastAsia="en-US"/>
              </w:rPr>
              <w:t>            </w:t>
            </w:r>
            <w:r w:rsidRPr="00B934AC">
              <w:rPr>
                <w:rFonts w:eastAsia="Times New Roman" w:cs="Times New Roman"/>
                <w:noProof/>
                <w:kern w:val="0"/>
                <w:sz w:val="20"/>
                <w:szCs w:val="20"/>
              </w:rPr>
              <w:drawing>
                <wp:inline distT="0" distB="0" distL="0" distR="0" wp14:anchorId="6E765803" wp14:editId="4D1B6AEB">
                  <wp:extent cx="1308100" cy="2413000"/>
                  <wp:effectExtent l="0" t="0" r="6350" b="6350"/>
                  <wp:docPr id="3" name="图片 3" descr="cid:image009.jpg@01D91167.0A524D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9.jpg@01D91167.0A524DD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08100" cy="2413000"/>
                          </a:xfrm>
                          <a:prstGeom prst="rect">
                            <a:avLst/>
                          </a:prstGeom>
                          <a:noFill/>
                          <a:ln>
                            <a:noFill/>
                          </a:ln>
                        </pic:spPr>
                      </pic:pic>
                    </a:graphicData>
                  </a:graphic>
                </wp:inline>
              </w:drawing>
            </w:r>
          </w:p>
          <w:p w14:paraId="135C303C"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Partial migration                          Topology redundancy</w:t>
            </w:r>
          </w:p>
        </w:tc>
      </w:tr>
      <w:tr w:rsidR="00B934AC" w:rsidRPr="00B934AC" w14:paraId="323A9F1B" w14:textId="77777777" w:rsidTr="00F87D78">
        <w:tc>
          <w:tcPr>
            <w:tcW w:w="10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D245DF" w14:textId="54AB46E2"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Nokia</w:t>
            </w:r>
          </w:p>
        </w:tc>
        <w:tc>
          <w:tcPr>
            <w:tcW w:w="8535" w:type="dxa"/>
            <w:tcBorders>
              <w:top w:val="nil"/>
              <w:left w:val="nil"/>
              <w:bottom w:val="single" w:sz="8" w:space="0" w:color="000000"/>
              <w:right w:val="single" w:sz="8" w:space="0" w:color="000000"/>
            </w:tcBorders>
            <w:tcMar>
              <w:top w:w="0" w:type="dxa"/>
              <w:left w:w="108" w:type="dxa"/>
              <w:bottom w:w="0" w:type="dxa"/>
              <w:right w:w="108" w:type="dxa"/>
            </w:tcMar>
            <w:hideMark/>
          </w:tcPr>
          <w:p w14:paraId="28CF4299"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In general, we agree that we can reuse existing principles, e.g. from Rel-17 we already have inter-topology routing (at least for partial migration). However, as Yulong described, </w:t>
            </w:r>
            <w:r w:rsidRPr="00B934AC">
              <w:rPr>
                <w:rFonts w:eastAsia="Times New Roman" w:cs="Times New Roman"/>
                <w:kern w:val="0"/>
                <w:sz w:val="20"/>
                <w:szCs w:val="20"/>
                <w:highlight w:val="yellow"/>
                <w:lang w:val="en-GB" w:eastAsia="en-US"/>
              </w:rPr>
              <w:t>the concept of “boundary node” may be impacted.</w:t>
            </w:r>
          </w:p>
        </w:tc>
      </w:tr>
      <w:tr w:rsidR="00B934AC" w:rsidRPr="00B934AC" w14:paraId="2AB3E50D" w14:textId="77777777" w:rsidTr="00F87D78">
        <w:tc>
          <w:tcPr>
            <w:tcW w:w="10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5DB4BF"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Ericsson</w:t>
            </w:r>
          </w:p>
        </w:tc>
        <w:tc>
          <w:tcPr>
            <w:tcW w:w="8535" w:type="dxa"/>
            <w:tcBorders>
              <w:top w:val="nil"/>
              <w:left w:val="nil"/>
              <w:bottom w:val="single" w:sz="8" w:space="0" w:color="000000"/>
              <w:right w:val="single" w:sz="8" w:space="0" w:color="000000"/>
            </w:tcBorders>
            <w:tcMar>
              <w:top w:w="0" w:type="dxa"/>
              <w:left w:w="108" w:type="dxa"/>
              <w:bottom w:w="0" w:type="dxa"/>
              <w:right w:w="108" w:type="dxa"/>
            </w:tcMar>
            <w:hideMark/>
          </w:tcPr>
          <w:p w14:paraId="4DEBE5D8"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If I understand then the scenario is that during Inter-CU HO; there may be certain number of UEs which has already been handed-over from CU1 to CU2 whereas certain number of UEs are still awaiting to be handed-over; i.e still served by CU1.</w:t>
            </w:r>
          </w:p>
          <w:p w14:paraId="6DDD5CDE"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We should be able to reuse some concept from partial migration that R3 defined in Rel-17.</w:t>
            </w:r>
          </w:p>
          <w:p w14:paraId="6040A2D6"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lastRenderedPageBreak/>
              <w:t xml:space="preserve">There are 2 DUs with separate IDs each maintained/configured by different CU; hence for downstream traffic naturally the differentiation can come via their respective SCTP, IP addresses. For Upstream traffic differentiation, the </w:t>
            </w:r>
            <w:r w:rsidRPr="00B934AC">
              <w:rPr>
                <w:rFonts w:eastAsia="Times New Roman" w:cs="Times New Roman"/>
                <w:kern w:val="0"/>
                <w:sz w:val="20"/>
                <w:szCs w:val="20"/>
                <w:highlight w:val="yellow"/>
                <w:lang w:val="en-GB" w:eastAsia="en-US"/>
              </w:rPr>
              <w:t>default BAP configuration can be extended which includes configuration specific to each CU.</w:t>
            </w:r>
          </w:p>
        </w:tc>
      </w:tr>
      <w:tr w:rsidR="00B934AC" w:rsidRPr="00B934AC" w14:paraId="2698E753" w14:textId="77777777" w:rsidTr="00F87D78">
        <w:tc>
          <w:tcPr>
            <w:tcW w:w="108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548A69F1" w14:textId="6F84A9A2"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lastRenderedPageBreak/>
              <w:t>Samsung</w:t>
            </w:r>
          </w:p>
        </w:tc>
        <w:tc>
          <w:tcPr>
            <w:tcW w:w="8535" w:type="dxa"/>
            <w:tcBorders>
              <w:top w:val="nil"/>
              <w:left w:val="nil"/>
              <w:bottom w:val="single" w:sz="8" w:space="0" w:color="auto"/>
              <w:right w:val="single" w:sz="8" w:space="0" w:color="000000"/>
            </w:tcBorders>
            <w:tcMar>
              <w:top w:w="0" w:type="dxa"/>
              <w:left w:w="108" w:type="dxa"/>
              <w:bottom w:w="0" w:type="dxa"/>
              <w:right w:w="108" w:type="dxa"/>
            </w:tcMar>
            <w:hideMark/>
          </w:tcPr>
          <w:p w14:paraId="5D0F14AC"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 In general, we share the similar understanding as the Ericsson. In terms of </w:t>
            </w:r>
            <w:r w:rsidRPr="00B934AC">
              <w:rPr>
                <w:rFonts w:eastAsia="Times New Roman" w:cs="Times New Roman"/>
                <w:kern w:val="0"/>
                <w:sz w:val="20"/>
                <w:szCs w:val="20"/>
                <w:highlight w:val="yellow"/>
                <w:lang w:val="en-GB" w:eastAsia="en-US"/>
              </w:rPr>
              <w:t>F1 interface, the two logical DU can be managed separately</w:t>
            </w:r>
            <w:r w:rsidRPr="00B934AC">
              <w:rPr>
                <w:rFonts w:eastAsia="Times New Roman" w:cs="Times New Roman"/>
                <w:kern w:val="0"/>
                <w:sz w:val="20"/>
                <w:szCs w:val="20"/>
                <w:lang w:val="en-GB" w:eastAsia="en-US"/>
              </w:rPr>
              <w:t xml:space="preserve">. While the BH link of those two DUs is served by the collocated MT so that the </w:t>
            </w:r>
            <w:r w:rsidRPr="00B934AC">
              <w:rPr>
                <w:rFonts w:eastAsia="Times New Roman" w:cs="Times New Roman"/>
                <w:kern w:val="0"/>
                <w:sz w:val="20"/>
                <w:szCs w:val="20"/>
                <w:highlight w:val="yellow"/>
                <w:lang w:val="en-GB" w:eastAsia="en-US"/>
              </w:rPr>
              <w:t>BH link configuration relies on the donor terminating RRC of IAB-MT</w:t>
            </w:r>
            <w:r w:rsidRPr="00B934AC">
              <w:rPr>
                <w:rFonts w:eastAsia="Times New Roman" w:cs="Times New Roman"/>
                <w:kern w:val="0"/>
                <w:sz w:val="20"/>
                <w:szCs w:val="20"/>
                <w:lang w:val="en-GB" w:eastAsia="en-US"/>
              </w:rPr>
              <w:t>.  </w:t>
            </w:r>
          </w:p>
        </w:tc>
      </w:tr>
      <w:tr w:rsidR="00B934AC" w:rsidRPr="00B934AC" w14:paraId="2C05C239" w14:textId="77777777" w:rsidTr="00F87D78">
        <w:tc>
          <w:tcPr>
            <w:tcW w:w="10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EA4AB" w14:textId="0A294676"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LGE</w:t>
            </w:r>
          </w:p>
        </w:tc>
        <w:tc>
          <w:tcPr>
            <w:tcW w:w="8535" w:type="dxa"/>
            <w:tcBorders>
              <w:top w:val="nil"/>
              <w:left w:val="nil"/>
              <w:bottom w:val="single" w:sz="8" w:space="0" w:color="auto"/>
              <w:right w:val="single" w:sz="8" w:space="0" w:color="auto"/>
            </w:tcBorders>
            <w:tcMar>
              <w:top w:w="0" w:type="dxa"/>
              <w:left w:w="108" w:type="dxa"/>
              <w:bottom w:w="0" w:type="dxa"/>
              <w:right w:w="108" w:type="dxa"/>
            </w:tcMar>
            <w:hideMark/>
          </w:tcPr>
          <w:p w14:paraId="21E01156"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We prefer to reuse existing principle and solutions including partial migration as much as possible. Of course, we can check whether the existing concept of “boundary node” can be resued.</w:t>
            </w:r>
          </w:p>
        </w:tc>
      </w:tr>
      <w:tr w:rsidR="00B934AC" w:rsidRPr="00B934AC" w14:paraId="713A2C68" w14:textId="77777777" w:rsidTr="00F87D78">
        <w:tc>
          <w:tcPr>
            <w:tcW w:w="108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8A1CA88" w14:textId="249A9542"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vivo</w:t>
            </w:r>
          </w:p>
        </w:tc>
        <w:tc>
          <w:tcPr>
            <w:tcW w:w="8535" w:type="dxa"/>
            <w:tcBorders>
              <w:top w:val="nil"/>
              <w:left w:val="nil"/>
              <w:bottom w:val="single" w:sz="4" w:space="0" w:color="auto"/>
              <w:right w:val="single" w:sz="8" w:space="0" w:color="auto"/>
            </w:tcBorders>
            <w:tcMar>
              <w:top w:w="0" w:type="dxa"/>
              <w:left w:w="108" w:type="dxa"/>
              <w:bottom w:w="0" w:type="dxa"/>
              <w:right w:w="108" w:type="dxa"/>
            </w:tcMar>
            <w:hideMark/>
          </w:tcPr>
          <w:p w14:paraId="61E38A36"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We tend to agree that the </w:t>
            </w:r>
            <w:r w:rsidRPr="00B934AC">
              <w:rPr>
                <w:rFonts w:eastAsia="Times New Roman" w:cs="Times New Roman"/>
                <w:kern w:val="0"/>
                <w:sz w:val="20"/>
                <w:szCs w:val="20"/>
                <w:highlight w:val="yellow"/>
                <w:lang w:val="en-GB" w:eastAsia="en-US"/>
              </w:rPr>
              <w:t>concept of boundary node may be impacted</w:t>
            </w:r>
            <w:r w:rsidRPr="00B934AC">
              <w:rPr>
                <w:rFonts w:eastAsia="Times New Roman" w:cs="Times New Roman"/>
                <w:kern w:val="0"/>
                <w:sz w:val="20"/>
                <w:szCs w:val="20"/>
                <w:lang w:val="en-GB" w:eastAsia="en-US"/>
              </w:rPr>
              <w:t>. But, reusing existing principle and solutions should be baseline. Additionally, as uggested by Ritesh, We should first consider partial migration solution defined in Rel-17</w:t>
            </w:r>
          </w:p>
        </w:tc>
      </w:tr>
      <w:tr w:rsidR="00B934AC" w:rsidRPr="00B934AC" w14:paraId="1D30D3FC" w14:textId="77777777" w:rsidTr="00F87D78">
        <w:tc>
          <w:tcPr>
            <w:tcW w:w="10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DF267" w14:textId="47B48754"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Apple</w:t>
            </w:r>
          </w:p>
        </w:tc>
        <w:tc>
          <w:tcPr>
            <w:tcW w:w="8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3847"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We have similar view as Ericsson.</w:t>
            </w:r>
          </w:p>
        </w:tc>
      </w:tr>
    </w:tbl>
    <w:p w14:paraId="3E9743B5" w14:textId="77777777" w:rsidR="00B934AC" w:rsidRPr="00B934AC" w:rsidRDefault="00B934AC" w:rsidP="00B934AC">
      <w:pPr>
        <w:widowControl/>
        <w:spacing w:after="180"/>
        <w:jc w:val="left"/>
        <w:rPr>
          <w:rFonts w:ascii="Calibri" w:eastAsia="Times New Roman" w:hAnsi="Calibri" w:cs="Calibri"/>
          <w:kern w:val="0"/>
          <w:sz w:val="22"/>
          <w:lang w:val="en-GB" w:eastAsia="en-US"/>
        </w:rPr>
      </w:pPr>
    </w:p>
    <w:p w14:paraId="4C0D5E14" w14:textId="2E49B902" w:rsidR="00B934AC" w:rsidRPr="00A94F95" w:rsidRDefault="00B934AC" w:rsidP="00A94F95">
      <w:pPr>
        <w:pStyle w:val="2"/>
        <w:rPr>
          <w:rFonts w:ascii="Times New Roman" w:hAnsi="Times New Roman"/>
        </w:rPr>
      </w:pPr>
      <w:r w:rsidRPr="00A94F95">
        <w:rPr>
          <w:rFonts w:ascii="Times New Roman" w:hAnsi="Times New Roman"/>
        </w:rPr>
        <w:t>Comments to Issue 1a in upstream</w:t>
      </w:r>
    </w:p>
    <w:tbl>
      <w:tblPr>
        <w:tblW w:w="0" w:type="auto"/>
        <w:tblCellMar>
          <w:left w:w="0" w:type="dxa"/>
          <w:right w:w="0" w:type="dxa"/>
        </w:tblCellMar>
        <w:tblLook w:val="04A0" w:firstRow="1" w:lastRow="0" w:firstColumn="1" w:lastColumn="0" w:noHBand="0" w:noVBand="1"/>
      </w:tblPr>
      <w:tblGrid>
        <w:gridCol w:w="983"/>
        <w:gridCol w:w="8635"/>
      </w:tblGrid>
      <w:tr w:rsidR="00B934AC" w:rsidRPr="00B934AC" w14:paraId="54163CE2" w14:textId="77777777" w:rsidTr="00F87D78">
        <w:tc>
          <w:tcPr>
            <w:tcW w:w="9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DF119D" w14:textId="7372EA39"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QC</w:t>
            </w:r>
          </w:p>
        </w:tc>
        <w:tc>
          <w:tcPr>
            <w:tcW w:w="863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3B3808A"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On Case 1, Issue 1a: Can the two F1s share the same default routing.</w:t>
            </w:r>
          </w:p>
          <w:p w14:paraId="1856F312"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F1 of IAB-DU3a: According to Rel-16, the default routing configuration provided by CU1 to IAB-MT1 can be used by IAB-DU3a.</w:t>
            </w:r>
          </w:p>
          <w:p w14:paraId="5AB7B136"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          F1 of IAB-DU3b: According to Rel-17, </w:t>
            </w:r>
            <w:r w:rsidRPr="00B934AC">
              <w:rPr>
                <w:rFonts w:eastAsia="Times New Roman" w:cs="Times New Roman"/>
                <w:kern w:val="0"/>
                <w:sz w:val="20"/>
                <w:szCs w:val="20"/>
                <w:highlight w:val="yellow"/>
                <w:lang w:val="en-GB" w:eastAsia="en-US"/>
              </w:rPr>
              <w:t>the boundary node’s F1 can use the default routing configured on the IAB-MT.</w:t>
            </w:r>
          </w:p>
        </w:tc>
      </w:tr>
      <w:tr w:rsidR="00B934AC" w:rsidRPr="00B934AC" w14:paraId="0AD36E6E" w14:textId="77777777" w:rsidTr="00F87D78">
        <w:tc>
          <w:tcPr>
            <w:tcW w:w="9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42A82E4" w14:textId="23AEED17"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Huawei</w:t>
            </w:r>
          </w:p>
        </w:tc>
        <w:tc>
          <w:tcPr>
            <w:tcW w:w="8635" w:type="dxa"/>
            <w:tcBorders>
              <w:top w:val="nil"/>
              <w:left w:val="nil"/>
              <w:bottom w:val="single" w:sz="8" w:space="0" w:color="000000"/>
              <w:right w:val="single" w:sz="8" w:space="0" w:color="000000"/>
            </w:tcBorders>
            <w:tcMar>
              <w:top w:w="0" w:type="dxa"/>
              <w:left w:w="108" w:type="dxa"/>
              <w:bottom w:w="0" w:type="dxa"/>
              <w:right w:w="108" w:type="dxa"/>
            </w:tcMar>
            <w:hideMark/>
          </w:tcPr>
          <w:p w14:paraId="1DEC4809"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Reply to above:</w:t>
            </w:r>
          </w:p>
          <w:p w14:paraId="0C9447A1"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I guess Georg’s view/answer on issue 1a is yes. Those F1s share/use the same default BAP configuration, since we only have one RRC to provide this to mobile IAB MT. We have similar view on using the same default BAP config.</w:t>
            </w:r>
          </w:p>
          <w:p w14:paraId="2F8CB478"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w:t>
            </w:r>
          </w:p>
          <w:p w14:paraId="43F43649"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Another comment: according to the legacy spec/principle, default BAP config cannot be used (by DU3b) anymore, if the BAP has been reconfigured by F1AP (to DU3a).</w:t>
            </w:r>
          </w:p>
        </w:tc>
      </w:tr>
      <w:tr w:rsidR="00B934AC" w:rsidRPr="00B934AC" w14:paraId="35059668" w14:textId="77777777" w:rsidTr="00F87D78">
        <w:tc>
          <w:tcPr>
            <w:tcW w:w="9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C8EA40" w14:textId="56EC8898" w:rsidR="00B934AC" w:rsidRPr="00B934AC" w:rsidRDefault="00B934AC" w:rsidP="00F87D78">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Nokia</w:t>
            </w:r>
          </w:p>
        </w:tc>
        <w:tc>
          <w:tcPr>
            <w:tcW w:w="8635" w:type="dxa"/>
            <w:tcBorders>
              <w:top w:val="nil"/>
              <w:left w:val="nil"/>
              <w:bottom w:val="single" w:sz="8" w:space="0" w:color="000000"/>
              <w:right w:val="single" w:sz="8" w:space="0" w:color="000000"/>
            </w:tcBorders>
            <w:tcMar>
              <w:top w:w="0" w:type="dxa"/>
              <w:left w:w="108" w:type="dxa"/>
              <w:bottom w:w="0" w:type="dxa"/>
              <w:right w:w="108" w:type="dxa"/>
            </w:tcMar>
            <w:hideMark/>
          </w:tcPr>
          <w:p w14:paraId="14CF85F9"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We agree that the logical DUs would </w:t>
            </w:r>
            <w:r w:rsidRPr="00B934AC">
              <w:rPr>
                <w:rFonts w:eastAsia="Times New Roman" w:cs="Times New Roman"/>
                <w:kern w:val="0"/>
                <w:sz w:val="20"/>
                <w:szCs w:val="20"/>
                <w:highlight w:val="yellow"/>
                <w:lang w:val="en-GB" w:eastAsia="en-US"/>
              </w:rPr>
              <w:t>use the same default UL BAP configuration</w:t>
            </w:r>
            <w:r w:rsidRPr="00B934AC">
              <w:rPr>
                <w:rFonts w:eastAsia="Times New Roman" w:cs="Times New Roman"/>
                <w:kern w:val="0"/>
                <w:sz w:val="20"/>
                <w:szCs w:val="20"/>
                <w:lang w:val="en-GB" w:eastAsia="en-US"/>
              </w:rPr>
              <w:t xml:space="preserve"> that MT receives from CU1.</w:t>
            </w:r>
          </w:p>
          <w:p w14:paraId="78536A82"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w:t>
            </w:r>
          </w:p>
          <w:p w14:paraId="332A0140"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I guess Yulong’s comment related to reconfiguration via F1AP relates to the scenario in Issue 1b?</w:t>
            </w:r>
          </w:p>
          <w:p w14:paraId="6D7ED02F"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[Yulong]: somehow Yes.</w:t>
            </w:r>
          </w:p>
        </w:tc>
      </w:tr>
      <w:tr w:rsidR="00B934AC" w:rsidRPr="00B934AC" w14:paraId="37839616" w14:textId="77777777" w:rsidTr="00F87D78">
        <w:tc>
          <w:tcPr>
            <w:tcW w:w="9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FCBF78"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Ericsson</w:t>
            </w:r>
          </w:p>
        </w:tc>
        <w:tc>
          <w:tcPr>
            <w:tcW w:w="8635" w:type="dxa"/>
            <w:tcBorders>
              <w:top w:val="nil"/>
              <w:left w:val="nil"/>
              <w:bottom w:val="single" w:sz="8" w:space="0" w:color="000000"/>
              <w:right w:val="single" w:sz="8" w:space="0" w:color="000000"/>
            </w:tcBorders>
            <w:tcMar>
              <w:top w:w="0" w:type="dxa"/>
              <w:left w:w="108" w:type="dxa"/>
              <w:bottom w:w="0" w:type="dxa"/>
              <w:right w:w="108" w:type="dxa"/>
            </w:tcMar>
            <w:hideMark/>
          </w:tcPr>
          <w:p w14:paraId="164A3297"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To speed up HO (i.e in this case sending F1 setup message as soon as possible); it may be beneficial to preconfigure BAP configuration pertaining to CU2 in advance (config can come via CU1). So, we are o</w:t>
            </w:r>
            <w:r w:rsidRPr="00B934AC">
              <w:rPr>
                <w:rFonts w:eastAsia="Times New Roman" w:cs="Times New Roman"/>
                <w:kern w:val="0"/>
                <w:sz w:val="20"/>
                <w:szCs w:val="20"/>
                <w:highlight w:val="yellow"/>
                <w:lang w:val="en-GB" w:eastAsia="en-US"/>
              </w:rPr>
              <w:t>pen to discuss scenario where  default BAP config is (pre)configured per logical DU</w:t>
            </w:r>
            <w:r w:rsidRPr="00B934AC">
              <w:rPr>
                <w:rFonts w:eastAsia="Times New Roman" w:cs="Times New Roman"/>
                <w:kern w:val="0"/>
                <w:sz w:val="20"/>
                <w:szCs w:val="20"/>
                <w:lang w:val="en-GB" w:eastAsia="en-US"/>
              </w:rPr>
              <w:t>.</w:t>
            </w:r>
          </w:p>
        </w:tc>
      </w:tr>
      <w:tr w:rsidR="00B934AC" w:rsidRPr="00B934AC" w14:paraId="6C480EE8" w14:textId="77777777" w:rsidTr="00F87D78">
        <w:tc>
          <w:tcPr>
            <w:tcW w:w="98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77F39DF3" w14:textId="1DD59061"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Huawei</w:t>
            </w:r>
          </w:p>
        </w:tc>
        <w:tc>
          <w:tcPr>
            <w:tcW w:w="8635" w:type="dxa"/>
            <w:tcBorders>
              <w:top w:val="nil"/>
              <w:left w:val="nil"/>
              <w:bottom w:val="single" w:sz="8" w:space="0" w:color="auto"/>
              <w:right w:val="single" w:sz="8" w:space="0" w:color="000000"/>
            </w:tcBorders>
            <w:tcMar>
              <w:top w:w="0" w:type="dxa"/>
              <w:left w:w="108" w:type="dxa"/>
              <w:bottom w:w="0" w:type="dxa"/>
              <w:right w:w="108" w:type="dxa"/>
            </w:tcMar>
            <w:hideMark/>
          </w:tcPr>
          <w:p w14:paraId="57FF6B89"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Some replies to above comment</w:t>
            </w:r>
          </w:p>
          <w:p w14:paraId="7CCD5523"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@Ritesh, the “CU specific default BAP configuration” could be feasible, as you mentioned pre-configuration manner. I guess the question is about the </w:t>
            </w:r>
            <w:r w:rsidRPr="00B934AC">
              <w:rPr>
                <w:rFonts w:eastAsia="Times New Roman" w:cs="Times New Roman"/>
                <w:kern w:val="0"/>
                <w:sz w:val="20"/>
                <w:szCs w:val="20"/>
                <w:highlight w:val="yellow"/>
                <w:lang w:val="en-GB" w:eastAsia="en-US"/>
              </w:rPr>
              <w:t>motivation</w:t>
            </w:r>
            <w:r w:rsidRPr="00B934AC">
              <w:rPr>
                <w:rFonts w:eastAsia="Times New Roman" w:cs="Times New Roman"/>
                <w:kern w:val="0"/>
                <w:sz w:val="20"/>
                <w:szCs w:val="20"/>
                <w:lang w:val="en-GB" w:eastAsia="en-US"/>
              </w:rPr>
              <w:t xml:space="preserve">. Since anyway the non-F1AP/F1-C UL traffic from two DUs will share the same MT’s radio link. </w:t>
            </w:r>
            <w:r w:rsidRPr="00B934AC">
              <w:rPr>
                <w:rFonts w:eastAsia="Times New Roman" w:cs="Times New Roman"/>
                <w:kern w:val="0"/>
                <w:sz w:val="20"/>
                <w:szCs w:val="20"/>
                <w:highlight w:val="yellow"/>
                <w:lang w:val="en-GB" w:eastAsia="en-US"/>
              </w:rPr>
              <w:t>The same type of traffic (with similar latency/priority requirement) from different CU using different BH RLC on the same link seems not motivated.</w:t>
            </w:r>
            <w:r w:rsidRPr="00B934AC">
              <w:rPr>
                <w:rFonts w:eastAsia="Times New Roman" w:cs="Times New Roman"/>
                <w:kern w:val="0"/>
                <w:sz w:val="20"/>
                <w:szCs w:val="20"/>
                <w:lang w:val="en-GB" w:eastAsia="en-US"/>
              </w:rPr>
              <w:t xml:space="preserve"> And, the motivation of different CUs configuring different default routing ID can be discussed.</w:t>
            </w:r>
          </w:p>
        </w:tc>
      </w:tr>
      <w:tr w:rsidR="00B934AC" w:rsidRPr="00B934AC" w14:paraId="50BD1B44" w14:textId="77777777" w:rsidTr="00F87D78">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B3648" w14:textId="0B186120"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Samsung</w:t>
            </w:r>
          </w:p>
        </w:tc>
        <w:tc>
          <w:tcPr>
            <w:tcW w:w="8635" w:type="dxa"/>
            <w:tcBorders>
              <w:top w:val="nil"/>
              <w:left w:val="nil"/>
              <w:bottom w:val="single" w:sz="8" w:space="0" w:color="auto"/>
              <w:right w:val="single" w:sz="8" w:space="0" w:color="auto"/>
            </w:tcBorders>
            <w:tcMar>
              <w:top w:w="0" w:type="dxa"/>
              <w:left w:w="108" w:type="dxa"/>
              <w:bottom w:w="0" w:type="dxa"/>
              <w:right w:w="108" w:type="dxa"/>
            </w:tcMar>
            <w:hideMark/>
          </w:tcPr>
          <w:p w14:paraId="328E3509"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We share the similar understanding as Ericsson, i.e., </w:t>
            </w:r>
            <w:r w:rsidRPr="00B934AC">
              <w:rPr>
                <w:rFonts w:eastAsia="Times New Roman" w:cs="Times New Roman"/>
                <w:kern w:val="0"/>
                <w:sz w:val="20"/>
                <w:szCs w:val="20"/>
                <w:highlight w:val="yellow"/>
                <w:lang w:val="en-GB" w:eastAsia="en-US"/>
              </w:rPr>
              <w:t>different DU can have different default configurations.</w:t>
            </w:r>
            <w:r w:rsidRPr="00B934AC">
              <w:rPr>
                <w:rFonts w:eastAsia="Times New Roman" w:cs="Times New Roman"/>
                <w:kern w:val="0"/>
                <w:sz w:val="20"/>
                <w:szCs w:val="20"/>
                <w:lang w:val="en-GB" w:eastAsia="en-US"/>
              </w:rPr>
              <w:t> </w:t>
            </w:r>
          </w:p>
          <w:p w14:paraId="14955BAF"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 The F1 set up of second DU </w:t>
            </w:r>
            <w:r w:rsidRPr="00B934AC">
              <w:rPr>
                <w:rFonts w:eastAsia="Times New Roman" w:cs="Times New Roman"/>
                <w:kern w:val="0"/>
                <w:sz w:val="20"/>
                <w:szCs w:val="20"/>
                <w:highlight w:val="yellow"/>
                <w:lang w:val="en-GB" w:eastAsia="en-US"/>
              </w:rPr>
              <w:t>needs to be speed up</w:t>
            </w:r>
            <w:r w:rsidRPr="00B934AC">
              <w:rPr>
                <w:rFonts w:eastAsia="Times New Roman" w:cs="Times New Roman"/>
                <w:kern w:val="0"/>
                <w:sz w:val="20"/>
                <w:szCs w:val="20"/>
                <w:lang w:val="en-GB" w:eastAsia="en-US"/>
              </w:rPr>
              <w:t>. By using the same default configuration, the F1 traffic of both DUs will share the same BH link. Thus, it is not sure that the F1 setup traffic of DU2 will be scheduled in the higher priority than F1 traffic of DU1. </w:t>
            </w:r>
          </w:p>
          <w:p w14:paraId="40EB1201"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lastRenderedPageBreak/>
              <w:t xml:space="preserve">- The F1 traffic of two DUs may be </w:t>
            </w:r>
            <w:r w:rsidRPr="00B934AC">
              <w:rPr>
                <w:rFonts w:eastAsia="Times New Roman" w:cs="Times New Roman"/>
                <w:kern w:val="0"/>
                <w:sz w:val="20"/>
                <w:szCs w:val="20"/>
                <w:highlight w:val="yellow"/>
                <w:lang w:val="en-GB" w:eastAsia="en-US"/>
              </w:rPr>
              <w:t>routed via different paths</w:t>
            </w:r>
            <w:r w:rsidRPr="00B934AC">
              <w:rPr>
                <w:rFonts w:eastAsia="Times New Roman" w:cs="Times New Roman"/>
                <w:kern w:val="0"/>
                <w:sz w:val="20"/>
                <w:szCs w:val="20"/>
                <w:lang w:val="en-GB" w:eastAsia="en-US"/>
              </w:rPr>
              <w:t>. In case that there are intermediate nodes between donor DU and migrating node, it is possible that the donor CU may configure different routing path for two DUs.  </w:t>
            </w:r>
          </w:p>
          <w:p w14:paraId="151E8A81"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We may not need to mandate the different default configurations. However, we can allow this possibility and which configurations are applied depends on non-F1 terminating donor CU's implementation </w:t>
            </w:r>
          </w:p>
          <w:p w14:paraId="4FB43E0B"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As mentioned by HW,</w:t>
            </w:r>
            <w:r w:rsidRPr="00B934AC">
              <w:rPr>
                <w:rFonts w:eastAsia="Times New Roman" w:cs="Times New Roman" w:hint="eastAsia"/>
                <w:kern w:val="0"/>
                <w:sz w:val="20"/>
                <w:szCs w:val="20"/>
                <w:lang w:val="en-GB" w:eastAsia="en-US"/>
              </w:rPr>
              <w:t> </w:t>
            </w:r>
            <w:r w:rsidRPr="00B934AC">
              <w:rPr>
                <w:rFonts w:eastAsia="Times New Roman" w:cs="Times New Roman"/>
                <w:kern w:val="0"/>
                <w:sz w:val="20"/>
                <w:szCs w:val="20"/>
                <w:lang w:val="en-GB" w:eastAsia="en-US"/>
              </w:rPr>
              <w:t>“according to the legacy spec/principle, default BAP config cannot be used (by DU3b) anymore, if the BAP has been reconfigured by F1AP (to DU3a).”</w:t>
            </w:r>
            <w:r w:rsidRPr="00B934AC">
              <w:rPr>
                <w:rFonts w:eastAsia="Times New Roman" w:cs="Times New Roman" w:hint="eastAsia"/>
                <w:kern w:val="0"/>
                <w:sz w:val="20"/>
                <w:szCs w:val="20"/>
                <w:lang w:val="en-GB" w:eastAsia="en-US"/>
              </w:rPr>
              <w:t> </w:t>
            </w:r>
            <w:r w:rsidRPr="00B934AC">
              <w:rPr>
                <w:rFonts w:eastAsia="Times New Roman" w:cs="Times New Roman"/>
                <w:kern w:val="0"/>
                <w:sz w:val="20"/>
                <w:szCs w:val="20"/>
                <w:lang w:val="en-GB" w:eastAsia="en-US"/>
              </w:rPr>
              <w:t xml:space="preserve">For the case in the right figure below, </w:t>
            </w:r>
            <w:r w:rsidRPr="00B934AC">
              <w:rPr>
                <w:rFonts w:eastAsia="Times New Roman" w:cs="Times New Roman"/>
                <w:kern w:val="0"/>
                <w:sz w:val="20"/>
                <w:szCs w:val="20"/>
                <w:highlight w:val="yellow"/>
                <w:lang w:val="en-GB" w:eastAsia="en-US"/>
              </w:rPr>
              <w:t>the CU2 does not know if CU1 reconfigures the BAP for F1 by F1AP or not, the safe way is that CU2 configures another default BAP for DU3b.</w:t>
            </w:r>
            <w:r w:rsidRPr="00B934AC">
              <w:rPr>
                <w:rFonts w:eastAsia="Times New Roman" w:cs="Times New Roman"/>
                <w:kern w:val="0"/>
                <w:sz w:val="20"/>
                <w:szCs w:val="20"/>
                <w:lang w:val="en-GB" w:eastAsia="en-US"/>
              </w:rPr>
              <w:t xml:space="preserve"> In addition, except the two case shown by the two figures below, according to RAN3’s WA,</w:t>
            </w:r>
            <w:r w:rsidRPr="00B934AC">
              <w:rPr>
                <w:rFonts w:eastAsia="Times New Roman" w:cs="Times New Roman" w:hint="eastAsia"/>
                <w:kern w:val="0"/>
                <w:sz w:val="20"/>
                <w:szCs w:val="20"/>
                <w:lang w:val="en-GB" w:eastAsia="en-US"/>
              </w:rPr>
              <w:t> </w:t>
            </w:r>
            <w:r w:rsidRPr="00B934AC">
              <w:rPr>
                <w:rFonts w:eastAsia="Times New Roman" w:cs="Times New Roman"/>
                <w:kern w:val="0"/>
                <w:sz w:val="20"/>
                <w:szCs w:val="20"/>
                <w:lang w:val="en-GB" w:eastAsia="en-US"/>
              </w:rPr>
              <w:t>“</w:t>
            </w:r>
            <w:r w:rsidRPr="00B934AC">
              <w:rPr>
                <w:rFonts w:eastAsia="Times New Roman" w:cs="Times New Roman"/>
                <w:kern w:val="0"/>
                <w:sz w:val="20"/>
                <w:szCs w:val="20"/>
                <w:highlight w:val="yellow"/>
                <w:lang w:val="en-GB" w:eastAsia="en-US"/>
              </w:rPr>
              <w:t>WA: The mIAB-MT and its co-located mIAB-DU can be handed over/migrated to different donor CUs.</w:t>
            </w:r>
            <w:r w:rsidRPr="00B934AC">
              <w:rPr>
                <w:rFonts w:eastAsia="Times New Roman" w:cs="Times New Roman"/>
                <w:kern w:val="0"/>
                <w:sz w:val="20"/>
                <w:szCs w:val="20"/>
                <w:lang w:val="en-GB" w:eastAsia="en-US"/>
              </w:rPr>
              <w:t xml:space="preserve"> This WA is subject to validation that the impact involved is affordable”, another case for DU migration is that: the DU migration happens from CU1 (source F1-terminating donor) to CU3(target F1-terminating donor), while CU2 is the non-F1 terminating donor. In this case, CU2 also does know whether the default BH is still available at the IAB node.</w:t>
            </w:r>
          </w:p>
        </w:tc>
      </w:tr>
      <w:tr w:rsidR="00B934AC" w:rsidRPr="00B934AC" w14:paraId="6BEF3228" w14:textId="77777777" w:rsidTr="00F87D78">
        <w:tc>
          <w:tcPr>
            <w:tcW w:w="983" w:type="dxa"/>
            <w:tcBorders>
              <w:top w:val="nil"/>
              <w:left w:val="single" w:sz="8" w:space="0" w:color="000000"/>
              <w:bottom w:val="single" w:sz="8" w:space="0" w:color="000000"/>
              <w:right w:val="single" w:sz="8" w:space="0" w:color="000000"/>
            </w:tcBorders>
            <w:hideMark/>
          </w:tcPr>
          <w:p w14:paraId="02E16CA2" w14:textId="395C65FA"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lastRenderedPageBreak/>
              <w:t>LGE</w:t>
            </w:r>
          </w:p>
        </w:tc>
        <w:tc>
          <w:tcPr>
            <w:tcW w:w="8635" w:type="dxa"/>
            <w:tcBorders>
              <w:top w:val="nil"/>
              <w:left w:val="nil"/>
              <w:bottom w:val="single" w:sz="8" w:space="0" w:color="000000"/>
              <w:right w:val="single" w:sz="8" w:space="0" w:color="000000"/>
            </w:tcBorders>
            <w:hideMark/>
          </w:tcPr>
          <w:p w14:paraId="1D1122C7"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Default BAP configuration only includes </w:t>
            </w:r>
            <w:r w:rsidRPr="00B934AC">
              <w:rPr>
                <w:rFonts w:eastAsia="Times New Roman" w:cs="Times New Roman" w:hint="eastAsia"/>
                <w:i/>
                <w:iCs/>
                <w:kern w:val="0"/>
                <w:sz w:val="20"/>
                <w:szCs w:val="20"/>
                <w:lang w:val="en-GB" w:eastAsia="en-US"/>
              </w:rPr>
              <w:t>defaultUL-BAP-RoutingID</w:t>
            </w:r>
            <w:r w:rsidRPr="00B934AC">
              <w:rPr>
                <w:rFonts w:eastAsia="Times New Roman" w:cs="Times New Roman"/>
                <w:kern w:val="0"/>
                <w:sz w:val="20"/>
                <w:szCs w:val="20"/>
                <w:lang w:val="en-GB" w:eastAsia="en-US"/>
              </w:rPr>
              <w:t>, </w:t>
            </w:r>
            <w:r w:rsidRPr="00B934AC">
              <w:rPr>
                <w:rFonts w:eastAsia="Times New Roman" w:cs="Times New Roman"/>
                <w:i/>
                <w:iCs/>
                <w:kern w:val="0"/>
                <w:sz w:val="20"/>
                <w:szCs w:val="20"/>
                <w:lang w:val="en-GB" w:eastAsia="en-US"/>
              </w:rPr>
              <w:t>defaultUL-BH-RLC-Channel</w:t>
            </w:r>
            <w:r w:rsidRPr="00B934AC">
              <w:rPr>
                <w:rFonts w:eastAsia="Times New Roman" w:cs="Times New Roman"/>
                <w:kern w:val="0"/>
                <w:sz w:val="20"/>
                <w:szCs w:val="20"/>
                <w:lang w:val="en-GB" w:eastAsia="en-US"/>
              </w:rPr>
              <w:t>.</w:t>
            </w:r>
          </w:p>
          <w:p w14:paraId="356FDEF1"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Considering the below figures by Yulong, even if the default BAP configuration is shared, anyway all packets can be transferred one of Donor-DU1 or DU2 and if needed, transferred to CU 1 or CU 2. So, we think </w:t>
            </w:r>
            <w:r w:rsidRPr="00B934AC">
              <w:rPr>
                <w:rFonts w:eastAsia="Times New Roman" w:cs="Times New Roman"/>
                <w:kern w:val="0"/>
                <w:sz w:val="20"/>
                <w:szCs w:val="20"/>
                <w:highlight w:val="yellow"/>
                <w:lang w:val="en-GB" w:eastAsia="en-US"/>
              </w:rPr>
              <w:t>same default BAP configuration may not be the problem</w:t>
            </w:r>
            <w:r w:rsidRPr="00B934AC">
              <w:rPr>
                <w:rFonts w:eastAsia="Times New Roman" w:cs="Times New Roman"/>
                <w:kern w:val="0"/>
                <w:sz w:val="20"/>
                <w:szCs w:val="20"/>
                <w:lang w:val="en-GB" w:eastAsia="en-US"/>
              </w:rPr>
              <w:t>.</w:t>
            </w:r>
          </w:p>
          <w:p w14:paraId="1FC88DA8"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w:t>
            </w:r>
            <w:r w:rsidRPr="00B934AC">
              <w:rPr>
                <w:rFonts w:eastAsia="Times New Roman" w:cs="Times New Roman"/>
                <w:noProof/>
                <w:kern w:val="0"/>
                <w:sz w:val="20"/>
                <w:szCs w:val="20"/>
              </w:rPr>
              <w:drawing>
                <wp:inline distT="0" distB="0" distL="0" distR="0" wp14:anchorId="2FE18EB7" wp14:editId="7B2CD80C">
                  <wp:extent cx="2194983" cy="1162050"/>
                  <wp:effectExtent l="0" t="0" r="0" b="0"/>
                  <wp:docPr id="2" name="图片 2" descr="full mig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ull migration"/>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205383" cy="1167556"/>
                          </a:xfrm>
                          <a:prstGeom prst="rect">
                            <a:avLst/>
                          </a:prstGeom>
                          <a:noFill/>
                          <a:ln>
                            <a:noFill/>
                          </a:ln>
                        </pic:spPr>
                      </pic:pic>
                    </a:graphicData>
                  </a:graphic>
                </wp:inline>
              </w:drawing>
            </w:r>
          </w:p>
        </w:tc>
      </w:tr>
      <w:tr w:rsidR="00B934AC" w:rsidRPr="00B934AC" w14:paraId="0606A220" w14:textId="77777777" w:rsidTr="00F87D78">
        <w:tc>
          <w:tcPr>
            <w:tcW w:w="98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4E0A40C" w14:textId="718E53F3"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ZTE</w:t>
            </w:r>
          </w:p>
        </w:tc>
        <w:tc>
          <w:tcPr>
            <w:tcW w:w="8635" w:type="dxa"/>
            <w:tcBorders>
              <w:top w:val="nil"/>
              <w:left w:val="nil"/>
              <w:bottom w:val="single" w:sz="4" w:space="0" w:color="auto"/>
              <w:right w:val="single" w:sz="8" w:space="0" w:color="auto"/>
            </w:tcBorders>
            <w:tcMar>
              <w:top w:w="0" w:type="dxa"/>
              <w:left w:w="108" w:type="dxa"/>
              <w:bottom w:w="0" w:type="dxa"/>
              <w:right w:w="108" w:type="dxa"/>
            </w:tcMar>
            <w:hideMark/>
          </w:tcPr>
          <w:p w14:paraId="19023DB9"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The default BAP configuration could be </w:t>
            </w:r>
            <w:r w:rsidRPr="00B934AC">
              <w:rPr>
                <w:rFonts w:eastAsia="Times New Roman" w:cs="Times New Roman"/>
                <w:kern w:val="0"/>
                <w:sz w:val="20"/>
                <w:szCs w:val="20"/>
                <w:highlight w:val="yellow"/>
                <w:lang w:val="en-GB" w:eastAsia="en-US"/>
              </w:rPr>
              <w:t>shared between the two logical DUs</w:t>
            </w:r>
            <w:r w:rsidRPr="00B934AC">
              <w:rPr>
                <w:rFonts w:eastAsia="Times New Roman" w:cs="Times New Roman"/>
                <w:kern w:val="0"/>
                <w:sz w:val="20"/>
                <w:szCs w:val="20"/>
                <w:lang w:val="en-GB" w:eastAsia="en-US"/>
              </w:rPr>
              <w:t xml:space="preserve">. The fact is that both the UL data from source and target logical DU should be sent </w:t>
            </w:r>
            <w:r w:rsidRPr="00B934AC">
              <w:rPr>
                <w:rFonts w:eastAsia="Times New Roman" w:cs="Times New Roman"/>
                <w:kern w:val="0"/>
                <w:sz w:val="20"/>
                <w:szCs w:val="20"/>
                <w:highlight w:val="yellow"/>
                <w:lang w:val="en-GB" w:eastAsia="en-US"/>
              </w:rPr>
              <w:t>via the same target donor DU</w:t>
            </w:r>
            <w:r w:rsidRPr="00B934AC">
              <w:rPr>
                <w:rFonts w:eastAsia="Times New Roman" w:cs="Times New Roman"/>
                <w:kern w:val="0"/>
                <w:sz w:val="20"/>
                <w:szCs w:val="20"/>
                <w:lang w:val="en-GB" w:eastAsia="en-US"/>
              </w:rPr>
              <w:t>. And then the target donor DU can determine whether to forward the UL data to the source donor or target donor based on the destination IP address in the IP header. So the default BAP configuration or the UL mapping configured via F1AP configured by the source donor could be reused (i.e. shared by the two logical DUs) for the UL data transmission.</w:t>
            </w:r>
          </w:p>
        </w:tc>
      </w:tr>
      <w:tr w:rsidR="00B934AC" w:rsidRPr="00B934AC" w14:paraId="739992D2" w14:textId="77777777" w:rsidTr="00F87D78">
        <w:tc>
          <w:tcPr>
            <w:tcW w:w="98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7BBF021" w14:textId="3D8CE58A"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vivo</w:t>
            </w:r>
          </w:p>
        </w:tc>
        <w:tc>
          <w:tcPr>
            <w:tcW w:w="8635" w:type="dxa"/>
            <w:tcBorders>
              <w:top w:val="nil"/>
              <w:left w:val="nil"/>
              <w:bottom w:val="single" w:sz="4" w:space="0" w:color="auto"/>
              <w:right w:val="single" w:sz="8" w:space="0" w:color="auto"/>
            </w:tcBorders>
            <w:tcMar>
              <w:top w:w="0" w:type="dxa"/>
              <w:left w:w="108" w:type="dxa"/>
              <w:bottom w:w="0" w:type="dxa"/>
              <w:right w:w="108" w:type="dxa"/>
            </w:tcMar>
          </w:tcPr>
          <w:p w14:paraId="4FF7E1AD"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We think the </w:t>
            </w:r>
            <w:r w:rsidRPr="00B934AC">
              <w:rPr>
                <w:rFonts w:eastAsia="Times New Roman" w:cs="Times New Roman"/>
                <w:kern w:val="0"/>
                <w:sz w:val="20"/>
                <w:szCs w:val="20"/>
                <w:highlight w:val="yellow"/>
                <w:lang w:val="en-GB" w:eastAsia="en-US"/>
              </w:rPr>
              <w:t>same default BAP configuration can be used</w:t>
            </w:r>
            <w:r w:rsidRPr="00B934AC">
              <w:rPr>
                <w:rFonts w:eastAsia="Times New Roman" w:cs="Times New Roman"/>
                <w:kern w:val="0"/>
                <w:sz w:val="20"/>
                <w:szCs w:val="20"/>
                <w:lang w:val="en-GB" w:eastAsia="en-US"/>
              </w:rPr>
              <w:t xml:space="preserve"> for the two logical DUs. All UL packets can be transferred to target donor DU (be Donor DU1 or Donor DU2 possibly with inter CU data transfer). So we think default BAP pre-configuration manner per logical DU may not be necessary.</w:t>
            </w:r>
          </w:p>
        </w:tc>
      </w:tr>
      <w:tr w:rsidR="00B934AC" w:rsidRPr="00B934AC" w14:paraId="4D8E91EC" w14:textId="77777777" w:rsidTr="00F87D78">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6FFA" w14:textId="39DB8046"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Apple</w:t>
            </w:r>
          </w:p>
        </w:tc>
        <w:tc>
          <w:tcPr>
            <w:tcW w:w="86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596FE"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We don’t see issue if </w:t>
            </w:r>
            <w:r w:rsidRPr="00B934AC">
              <w:rPr>
                <w:rFonts w:eastAsia="Times New Roman" w:cs="Times New Roman"/>
                <w:kern w:val="0"/>
                <w:sz w:val="20"/>
                <w:szCs w:val="20"/>
                <w:highlight w:val="yellow"/>
                <w:lang w:val="en-GB" w:eastAsia="en-US"/>
              </w:rPr>
              <w:t>different DUs use the same default configuration</w:t>
            </w:r>
            <w:r w:rsidRPr="00B934AC">
              <w:rPr>
                <w:rFonts w:eastAsia="Times New Roman" w:cs="Times New Roman"/>
                <w:kern w:val="0"/>
                <w:sz w:val="20"/>
                <w:szCs w:val="20"/>
                <w:lang w:val="en-GB" w:eastAsia="en-US"/>
              </w:rPr>
              <w:t>. So, no need to mandate different default BAP configurations for different DUs.</w:t>
            </w:r>
          </w:p>
        </w:tc>
      </w:tr>
    </w:tbl>
    <w:p w14:paraId="7D7CB98C" w14:textId="77777777" w:rsidR="00B934AC" w:rsidRPr="00B934AC" w:rsidRDefault="00B934AC" w:rsidP="00B934AC">
      <w:pPr>
        <w:widowControl/>
        <w:spacing w:beforeLines="50" w:before="120"/>
        <w:rPr>
          <w:rFonts w:eastAsia="Times New Roman" w:cs="Times New Roman"/>
          <w:kern w:val="0"/>
          <w:sz w:val="20"/>
          <w:szCs w:val="20"/>
          <w:lang w:val="en-GB"/>
        </w:rPr>
      </w:pPr>
      <w:r w:rsidRPr="00B934AC">
        <w:rPr>
          <w:rFonts w:eastAsia="Times New Roman" w:cs="Times New Roman"/>
          <w:kern w:val="0"/>
          <w:sz w:val="20"/>
          <w:szCs w:val="20"/>
          <w:lang w:val="en-GB"/>
        </w:rPr>
        <w:t> </w:t>
      </w:r>
    </w:p>
    <w:p w14:paraId="612FCED5" w14:textId="5D4B4742" w:rsidR="00B934AC" w:rsidRPr="00A94F95" w:rsidRDefault="00B934AC" w:rsidP="00A94F95">
      <w:pPr>
        <w:pStyle w:val="2"/>
        <w:rPr>
          <w:rFonts w:ascii="Times New Roman" w:hAnsi="Times New Roman"/>
        </w:rPr>
      </w:pPr>
      <w:r w:rsidRPr="00A94F95">
        <w:rPr>
          <w:rFonts w:ascii="Times New Roman" w:hAnsi="Times New Roman"/>
        </w:rPr>
        <w:t>Comments to Issue 1b in in upstream</w:t>
      </w:r>
    </w:p>
    <w:tbl>
      <w:tblPr>
        <w:tblW w:w="0" w:type="auto"/>
        <w:tblCellMar>
          <w:left w:w="0" w:type="dxa"/>
          <w:right w:w="0" w:type="dxa"/>
        </w:tblCellMar>
        <w:tblLook w:val="04A0" w:firstRow="1" w:lastRow="0" w:firstColumn="1" w:lastColumn="0" w:noHBand="0" w:noVBand="1"/>
      </w:tblPr>
      <w:tblGrid>
        <w:gridCol w:w="1072"/>
        <w:gridCol w:w="8546"/>
      </w:tblGrid>
      <w:tr w:rsidR="00B934AC" w:rsidRPr="00B934AC" w14:paraId="4932C23A" w14:textId="77777777" w:rsidTr="00D93317">
        <w:tc>
          <w:tcPr>
            <w:tcW w:w="12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1EA3FD" w14:textId="3BE54EC4"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QC</w:t>
            </w:r>
          </w:p>
        </w:tc>
        <w:tc>
          <w:tcPr>
            <w:tcW w:w="2023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C85D5E2"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On Case 1, Issue 1b: Can the two DUs share the same BAP configuration, i.e., UL routing and bearer mapping configuration (and also BAP address).</w:t>
            </w:r>
          </w:p>
          <w:p w14:paraId="656B290D"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For IAB-DU3a (non-boundary-node behavior), </w:t>
            </w:r>
            <w:r w:rsidRPr="00B934AC">
              <w:rPr>
                <w:rFonts w:eastAsia="Times New Roman" w:cs="Times New Roman"/>
                <w:kern w:val="0"/>
                <w:sz w:val="20"/>
                <w:szCs w:val="20"/>
                <w:highlight w:val="yellow"/>
                <w:lang w:val="en-GB" w:eastAsia="en-US"/>
              </w:rPr>
              <w:t>CU1</w:t>
            </w:r>
            <w:r w:rsidRPr="00B934AC">
              <w:rPr>
                <w:rFonts w:eastAsia="Times New Roman" w:cs="Times New Roman"/>
                <w:kern w:val="0"/>
                <w:sz w:val="20"/>
                <w:szCs w:val="20"/>
                <w:lang w:val="en-GB" w:eastAsia="en-US"/>
              </w:rPr>
              <w:t xml:space="preserve"> provides the BAP address, </w:t>
            </w:r>
            <w:r w:rsidRPr="00B934AC">
              <w:rPr>
                <w:rFonts w:eastAsia="Times New Roman" w:cs="Times New Roman"/>
                <w:kern w:val="0"/>
                <w:sz w:val="20"/>
                <w:szCs w:val="20"/>
                <w:highlight w:val="yellow"/>
                <w:lang w:val="en-GB" w:eastAsia="en-US"/>
              </w:rPr>
              <w:t>UL routing and bearer mapping configurations.</w:t>
            </w:r>
          </w:p>
          <w:p w14:paraId="5B12C27F"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For IAB-DU3b (boundary-node behavior), CU1 provides the BAP address and </w:t>
            </w:r>
            <w:r w:rsidRPr="00B934AC">
              <w:rPr>
                <w:rFonts w:eastAsia="Times New Roman" w:cs="Times New Roman"/>
                <w:kern w:val="0"/>
                <w:sz w:val="20"/>
                <w:szCs w:val="20"/>
                <w:highlight w:val="yellow"/>
                <w:lang w:val="en-GB" w:eastAsia="en-US"/>
              </w:rPr>
              <w:t>CU2 provides UL routing and bearer mapping configurations.</w:t>
            </w:r>
          </w:p>
          <w:p w14:paraId="79BC55C1"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          The IAB-node can differentiate between the UL mappings for IAB-DU3a vs. IAB-DU3b </w:t>
            </w:r>
            <w:r w:rsidRPr="00B934AC">
              <w:rPr>
                <w:rFonts w:eastAsia="Times New Roman" w:cs="Times New Roman"/>
                <w:kern w:val="0"/>
                <w:sz w:val="20"/>
                <w:szCs w:val="20"/>
                <w:highlight w:val="yellow"/>
                <w:lang w:val="en-GB" w:eastAsia="en-US"/>
              </w:rPr>
              <w:t>since they were configured by different F1AP associations.</w:t>
            </w:r>
          </w:p>
        </w:tc>
      </w:tr>
      <w:tr w:rsidR="00B934AC" w:rsidRPr="00B934AC" w14:paraId="39BBAE36" w14:textId="77777777" w:rsidTr="00D93317">
        <w:tc>
          <w:tcPr>
            <w:tcW w:w="12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B520150" w14:textId="57DC4351"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Huawei</w:t>
            </w:r>
          </w:p>
        </w:tc>
        <w:tc>
          <w:tcPr>
            <w:tcW w:w="20231" w:type="dxa"/>
            <w:tcBorders>
              <w:top w:val="nil"/>
              <w:left w:val="nil"/>
              <w:bottom w:val="single" w:sz="8" w:space="0" w:color="000000"/>
              <w:right w:val="single" w:sz="8" w:space="0" w:color="000000"/>
            </w:tcBorders>
            <w:tcMar>
              <w:top w:w="0" w:type="dxa"/>
              <w:left w:w="108" w:type="dxa"/>
              <w:bottom w:w="0" w:type="dxa"/>
              <w:right w:w="108" w:type="dxa"/>
            </w:tcMar>
            <w:hideMark/>
          </w:tcPr>
          <w:p w14:paraId="54093686"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Reply to above:</w:t>
            </w:r>
          </w:p>
          <w:p w14:paraId="007D9211"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Based on the Georg’s comments, we need to define </w:t>
            </w:r>
            <w:r w:rsidRPr="00B934AC">
              <w:rPr>
                <w:rFonts w:eastAsia="Times New Roman" w:cs="Times New Roman"/>
                <w:kern w:val="0"/>
                <w:sz w:val="20"/>
                <w:szCs w:val="20"/>
                <w:highlight w:val="yellow"/>
                <w:lang w:val="en-GB" w:eastAsia="en-US"/>
              </w:rPr>
              <w:t>two sets of UL BAP (routing/bearer mapping) configurations at mobile IAB MT side, one configured by CU1 and another one configured by CU2.</w:t>
            </w:r>
          </w:p>
          <w:p w14:paraId="6C59526A"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lastRenderedPageBreak/>
              <w:t>That is something new in BAP, i.e. donor-CU-specific BAP routing/bearer mapping table/configuration maintained at one BAP entity of mobile MT.</w:t>
            </w:r>
          </w:p>
        </w:tc>
      </w:tr>
      <w:tr w:rsidR="00B934AC" w:rsidRPr="00B934AC" w14:paraId="680421F8" w14:textId="77777777" w:rsidTr="00D93317">
        <w:tc>
          <w:tcPr>
            <w:tcW w:w="12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B9578A" w14:textId="7705F385"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lastRenderedPageBreak/>
              <w:t>Nokia</w:t>
            </w:r>
          </w:p>
        </w:tc>
        <w:tc>
          <w:tcPr>
            <w:tcW w:w="20231" w:type="dxa"/>
            <w:tcBorders>
              <w:top w:val="nil"/>
              <w:left w:val="nil"/>
              <w:bottom w:val="single" w:sz="8" w:space="0" w:color="000000"/>
              <w:right w:val="single" w:sz="8" w:space="0" w:color="000000"/>
            </w:tcBorders>
            <w:tcMar>
              <w:top w:w="0" w:type="dxa"/>
              <w:left w:w="108" w:type="dxa"/>
              <w:bottom w:w="0" w:type="dxa"/>
              <w:right w:w="108" w:type="dxa"/>
            </w:tcMar>
            <w:hideMark/>
          </w:tcPr>
          <w:p w14:paraId="7E602C42"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Reply to Yulong: Not sure this type of table/mapping needs to be specified, since </w:t>
            </w:r>
            <w:r w:rsidRPr="00B934AC">
              <w:rPr>
                <w:rFonts w:eastAsia="Times New Roman" w:cs="Times New Roman"/>
                <w:kern w:val="0"/>
                <w:sz w:val="20"/>
                <w:szCs w:val="20"/>
                <w:highlight w:val="yellow"/>
                <w:lang w:val="en-GB" w:eastAsia="en-US"/>
              </w:rPr>
              <w:t>it is internal to the IAB-node, i.e. it could possibly be left to implementatio</w:t>
            </w:r>
            <w:r w:rsidRPr="00B934AC">
              <w:rPr>
                <w:rFonts w:eastAsia="Times New Roman" w:cs="Times New Roman"/>
                <w:kern w:val="0"/>
                <w:sz w:val="20"/>
                <w:szCs w:val="20"/>
                <w:lang w:val="en-GB" w:eastAsia="en-US"/>
              </w:rPr>
              <w:t>n. TS 38.340 section 4.2.2 already has the following note:</w:t>
            </w:r>
          </w:p>
          <w:p w14:paraId="4A8EEC18"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NOTE: The modelling of BAP entities does not restrict internal implementation of IAB-nodes, i.e. the exact modelling of BAP sublayer may vary for different IAB-node implementations.</w:t>
            </w:r>
          </w:p>
        </w:tc>
      </w:tr>
      <w:tr w:rsidR="00B934AC" w:rsidRPr="00B934AC" w14:paraId="624C8FEA" w14:textId="77777777" w:rsidTr="00D93317">
        <w:tc>
          <w:tcPr>
            <w:tcW w:w="12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F83085"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Ericsson</w:t>
            </w:r>
          </w:p>
        </w:tc>
        <w:tc>
          <w:tcPr>
            <w:tcW w:w="20231" w:type="dxa"/>
            <w:tcBorders>
              <w:top w:val="nil"/>
              <w:left w:val="nil"/>
              <w:bottom w:val="single" w:sz="8" w:space="0" w:color="000000"/>
              <w:right w:val="single" w:sz="8" w:space="0" w:color="000000"/>
            </w:tcBorders>
            <w:tcMar>
              <w:top w:w="0" w:type="dxa"/>
              <w:left w:w="108" w:type="dxa"/>
              <w:bottom w:w="0" w:type="dxa"/>
              <w:right w:w="108" w:type="dxa"/>
            </w:tcMar>
            <w:hideMark/>
          </w:tcPr>
          <w:p w14:paraId="0C6A3A55"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highlight w:val="yellow"/>
                <w:lang w:val="en-GB" w:eastAsia="en-US"/>
              </w:rPr>
              <w:t>Each CU should provide the configuration to its respective virtual DU</w:t>
            </w:r>
            <w:r w:rsidRPr="00B934AC">
              <w:rPr>
                <w:rFonts w:eastAsia="Times New Roman" w:cs="Times New Roman"/>
                <w:kern w:val="0"/>
                <w:sz w:val="20"/>
                <w:szCs w:val="20"/>
                <w:lang w:val="en-GB" w:eastAsia="en-US"/>
              </w:rPr>
              <w:t xml:space="preserve">. This is in line with Rel-17 principle that we followed in partial migration. We agree with Nokia that the </w:t>
            </w:r>
            <w:r w:rsidRPr="00B934AC">
              <w:rPr>
                <w:rFonts w:eastAsia="Times New Roman" w:cs="Times New Roman"/>
                <w:kern w:val="0"/>
                <w:sz w:val="20"/>
                <w:szCs w:val="20"/>
                <w:highlight w:val="yellow"/>
                <w:lang w:val="en-GB" w:eastAsia="en-US"/>
              </w:rPr>
              <w:t>organization of mapping table can be up to implementation</w:t>
            </w:r>
            <w:r w:rsidRPr="00B934AC">
              <w:rPr>
                <w:rFonts w:eastAsia="Times New Roman" w:cs="Times New Roman"/>
                <w:kern w:val="0"/>
                <w:sz w:val="20"/>
                <w:szCs w:val="20"/>
                <w:lang w:val="en-GB" w:eastAsia="en-US"/>
              </w:rPr>
              <w:t>.</w:t>
            </w:r>
          </w:p>
        </w:tc>
      </w:tr>
      <w:tr w:rsidR="00B934AC" w:rsidRPr="00B934AC" w14:paraId="33E1CB47" w14:textId="77777777" w:rsidTr="00D93317">
        <w:tc>
          <w:tcPr>
            <w:tcW w:w="1284"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00D1F38A" w14:textId="62BD447F"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Huawei</w:t>
            </w:r>
          </w:p>
        </w:tc>
        <w:tc>
          <w:tcPr>
            <w:tcW w:w="20231" w:type="dxa"/>
            <w:tcBorders>
              <w:top w:val="nil"/>
              <w:left w:val="nil"/>
              <w:bottom w:val="single" w:sz="8" w:space="0" w:color="auto"/>
              <w:right w:val="single" w:sz="8" w:space="0" w:color="000000"/>
            </w:tcBorders>
            <w:tcMar>
              <w:top w:w="0" w:type="dxa"/>
              <w:left w:w="108" w:type="dxa"/>
              <w:bottom w:w="0" w:type="dxa"/>
              <w:right w:w="108" w:type="dxa"/>
            </w:tcMar>
            <w:hideMark/>
          </w:tcPr>
          <w:p w14:paraId="11789415"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Some replies to above comment</w:t>
            </w:r>
          </w:p>
          <w:p w14:paraId="59D59DC7"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The “NOTE” was added in R16. It clarifies the BAP entities at DU and MT side of intermediated node can be single or two, by implementation. This NOTE is to clarify the above description only “</w:t>
            </w:r>
            <w:r w:rsidRPr="00B934AC">
              <w:rPr>
                <w:rFonts w:eastAsia="Times New Roman" w:cs="Times New Roman"/>
                <w:i/>
                <w:iCs/>
                <w:kern w:val="0"/>
                <w:sz w:val="20"/>
                <w:szCs w:val="20"/>
                <w:lang w:val="en-GB" w:eastAsia="en-US"/>
              </w:rPr>
              <w:t>On the IAB-node, the BAP sublayer contains one BAP entity at the MT function and a separate collocated BAP entity at the DU function.</w:t>
            </w:r>
            <w:r w:rsidRPr="00B934AC">
              <w:rPr>
                <w:rFonts w:eastAsia="Times New Roman" w:cs="Times New Roman"/>
                <w:kern w:val="0"/>
                <w:sz w:val="20"/>
                <w:szCs w:val="20"/>
                <w:lang w:val="en-GB" w:eastAsia="en-US"/>
              </w:rPr>
              <w:t>”</w:t>
            </w:r>
          </w:p>
          <w:p w14:paraId="7312D0D1"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This issue 1b is about MT side BAP entity for upstream. Are you referring to the modelling of two BAP entities at MT side? Otherwise (single BAP entity), how to avoid the </w:t>
            </w:r>
            <w:r w:rsidRPr="00B934AC">
              <w:rPr>
                <w:rFonts w:eastAsia="Times New Roman" w:cs="Times New Roman"/>
                <w:kern w:val="0"/>
                <w:sz w:val="20"/>
                <w:szCs w:val="20"/>
                <w:highlight w:val="yellow"/>
                <w:lang w:val="en-GB" w:eastAsia="en-US"/>
              </w:rPr>
              <w:t>possible conflict between two CUs</w:t>
            </w:r>
            <w:r w:rsidRPr="00B934AC">
              <w:rPr>
                <w:rFonts w:eastAsia="Times New Roman" w:cs="Times New Roman"/>
                <w:kern w:val="0"/>
                <w:sz w:val="20"/>
                <w:szCs w:val="20"/>
                <w:lang w:val="en-GB" w:eastAsia="en-US"/>
              </w:rPr>
              <w:t xml:space="preserve">, </w:t>
            </w:r>
            <w:r w:rsidRPr="00B934AC">
              <w:rPr>
                <w:rFonts w:eastAsia="Times New Roman" w:cs="Times New Roman"/>
                <w:kern w:val="0"/>
                <w:sz w:val="20"/>
                <w:szCs w:val="20"/>
                <w:highlight w:val="yellow"/>
                <w:lang w:val="en-GB" w:eastAsia="en-US"/>
              </w:rPr>
              <w:t>if both CUs may modify the one shared mapping table of this BAP entity</w:t>
            </w:r>
            <w:r w:rsidRPr="00B934AC">
              <w:rPr>
                <w:rFonts w:eastAsia="Times New Roman" w:cs="Times New Roman"/>
                <w:kern w:val="0"/>
                <w:sz w:val="20"/>
                <w:szCs w:val="20"/>
                <w:lang w:val="en-GB" w:eastAsia="en-US"/>
              </w:rPr>
              <w:t>?</w:t>
            </w:r>
          </w:p>
        </w:tc>
      </w:tr>
      <w:tr w:rsidR="00B934AC" w:rsidRPr="00B934AC" w14:paraId="02F1559D" w14:textId="77777777" w:rsidTr="00D93317">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20CDF" w14:textId="4E73ACEB"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Samsung</w:t>
            </w:r>
          </w:p>
        </w:tc>
        <w:tc>
          <w:tcPr>
            <w:tcW w:w="20231" w:type="dxa"/>
            <w:tcBorders>
              <w:top w:val="nil"/>
              <w:left w:val="nil"/>
              <w:bottom w:val="single" w:sz="8" w:space="0" w:color="auto"/>
              <w:right w:val="single" w:sz="8" w:space="0" w:color="auto"/>
            </w:tcBorders>
            <w:tcMar>
              <w:top w:w="0" w:type="dxa"/>
              <w:left w:w="108" w:type="dxa"/>
              <w:bottom w:w="0" w:type="dxa"/>
              <w:right w:w="108" w:type="dxa"/>
            </w:tcMar>
            <w:hideMark/>
          </w:tcPr>
          <w:p w14:paraId="2E14B455"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I tend to agree that this is </w:t>
            </w:r>
            <w:r w:rsidRPr="00B934AC">
              <w:rPr>
                <w:rFonts w:eastAsia="Times New Roman" w:cs="Times New Roman"/>
                <w:kern w:val="0"/>
                <w:sz w:val="20"/>
                <w:szCs w:val="20"/>
                <w:highlight w:val="yellow"/>
                <w:lang w:val="en-GB" w:eastAsia="en-US"/>
              </w:rPr>
              <w:t>an implementation issue.</w:t>
            </w:r>
            <w:r w:rsidRPr="00B934AC">
              <w:rPr>
                <w:rFonts w:eastAsia="Times New Roman" w:cs="Times New Roman"/>
                <w:kern w:val="0"/>
                <w:sz w:val="20"/>
                <w:szCs w:val="20"/>
                <w:lang w:val="en-GB" w:eastAsia="en-US"/>
              </w:rPr>
              <w:t xml:space="preserve"> The non-F1 terminating donor is responsible for the BAP configuration, and it can determine</w:t>
            </w:r>
            <w:r w:rsidRPr="00B934AC">
              <w:rPr>
                <w:rFonts w:eastAsia="Times New Roman" w:cs="Times New Roman" w:hint="eastAsia"/>
                <w:kern w:val="0"/>
                <w:sz w:val="20"/>
                <w:szCs w:val="20"/>
                <w:lang w:val="en-GB" w:eastAsia="en-US"/>
              </w:rPr>
              <w:t> </w:t>
            </w:r>
            <w:r w:rsidRPr="00B934AC">
              <w:rPr>
                <w:rFonts w:eastAsia="Times New Roman" w:cs="Times New Roman"/>
                <w:kern w:val="0"/>
                <w:sz w:val="20"/>
                <w:szCs w:val="20"/>
                <w:lang w:val="en-GB" w:eastAsia="en-US"/>
              </w:rPr>
              <w:t>to use separate BAP configurations for two logical DUs.</w:t>
            </w:r>
          </w:p>
          <w:p w14:paraId="6B56FB3D"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[Yulong]: The proposal seems </w:t>
            </w:r>
            <w:r w:rsidRPr="00B934AC">
              <w:rPr>
                <w:rFonts w:eastAsia="Times New Roman" w:cs="Times New Roman"/>
                <w:kern w:val="0"/>
                <w:sz w:val="20"/>
                <w:szCs w:val="20"/>
                <w:highlight w:val="yellow"/>
                <w:lang w:val="en-GB" w:eastAsia="en-US"/>
              </w:rPr>
              <w:t>“separate BAP configurations for two logical DUs but configured by one CU”</w:t>
            </w:r>
          </w:p>
        </w:tc>
      </w:tr>
      <w:tr w:rsidR="00B934AC" w:rsidRPr="00B934AC" w14:paraId="3F9EAE10" w14:textId="77777777" w:rsidTr="00D93317">
        <w:tc>
          <w:tcPr>
            <w:tcW w:w="12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80F27D" w14:textId="58E4B6CB"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L</w:t>
            </w:r>
            <w:r w:rsidR="00F87D78">
              <w:rPr>
                <w:rFonts w:eastAsia="Times New Roman" w:cs="Times New Roman"/>
                <w:kern w:val="0"/>
                <w:sz w:val="20"/>
                <w:szCs w:val="20"/>
                <w:lang w:val="en-GB" w:eastAsia="en-US"/>
              </w:rPr>
              <w:t>GE</w:t>
            </w:r>
          </w:p>
        </w:tc>
        <w:tc>
          <w:tcPr>
            <w:tcW w:w="20231" w:type="dxa"/>
            <w:tcBorders>
              <w:top w:val="nil"/>
              <w:left w:val="nil"/>
              <w:bottom w:val="single" w:sz="8" w:space="0" w:color="000000"/>
              <w:right w:val="single" w:sz="8" w:space="0" w:color="000000"/>
            </w:tcBorders>
            <w:tcMar>
              <w:top w:w="0" w:type="dxa"/>
              <w:left w:w="108" w:type="dxa"/>
              <w:bottom w:w="0" w:type="dxa"/>
              <w:right w:w="108" w:type="dxa"/>
            </w:tcMar>
            <w:hideMark/>
          </w:tcPr>
          <w:p w14:paraId="50E36B78"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We also think that </w:t>
            </w:r>
            <w:r w:rsidRPr="00B934AC">
              <w:rPr>
                <w:rFonts w:eastAsia="Times New Roman" w:cs="Times New Roman"/>
                <w:kern w:val="0"/>
                <w:sz w:val="20"/>
                <w:szCs w:val="20"/>
                <w:highlight w:val="yellow"/>
                <w:lang w:val="en-GB" w:eastAsia="en-US"/>
              </w:rPr>
              <w:t>each CU should configure its own UL routing and bearer mapping configuration</w:t>
            </w:r>
            <w:r w:rsidRPr="00B934AC">
              <w:rPr>
                <w:rFonts w:eastAsia="Times New Roman" w:cs="Times New Roman"/>
                <w:kern w:val="0"/>
                <w:sz w:val="20"/>
                <w:szCs w:val="20"/>
                <w:lang w:val="en-GB" w:eastAsia="en-US"/>
              </w:rPr>
              <w:t>. However, it is not sure whether it is purely implementation issue from BAP specification perspective as Yulong indicated. We are open to further discuss how to capture this anyway.</w:t>
            </w:r>
          </w:p>
        </w:tc>
      </w:tr>
      <w:tr w:rsidR="00B934AC" w:rsidRPr="00B934AC" w14:paraId="6576C3F4" w14:textId="77777777" w:rsidTr="00D93317">
        <w:tc>
          <w:tcPr>
            <w:tcW w:w="0" w:type="auto"/>
            <w:tcBorders>
              <w:top w:val="nil"/>
              <w:left w:val="single" w:sz="8" w:space="0" w:color="000000"/>
              <w:bottom w:val="single" w:sz="8" w:space="0" w:color="000000"/>
              <w:right w:val="single" w:sz="8" w:space="0" w:color="000000"/>
            </w:tcBorders>
            <w:hideMark/>
          </w:tcPr>
          <w:p w14:paraId="21160252" w14:textId="4A776D99"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ZTE</w:t>
            </w:r>
          </w:p>
        </w:tc>
        <w:tc>
          <w:tcPr>
            <w:tcW w:w="0" w:type="auto"/>
            <w:tcBorders>
              <w:top w:val="nil"/>
              <w:left w:val="nil"/>
              <w:bottom w:val="single" w:sz="8" w:space="0" w:color="000000"/>
              <w:right w:val="single" w:sz="8" w:space="0" w:color="000000"/>
            </w:tcBorders>
            <w:hideMark/>
          </w:tcPr>
          <w:p w14:paraId="6463D888"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Considering that these BAP configurations are configured by donor to IAB-DU, </w:t>
            </w:r>
            <w:r w:rsidRPr="00B934AC">
              <w:rPr>
                <w:rFonts w:eastAsia="Times New Roman" w:cs="Times New Roman"/>
                <w:kern w:val="0"/>
                <w:sz w:val="20"/>
                <w:szCs w:val="20"/>
                <w:highlight w:val="yellow"/>
                <w:lang w:val="en-GB" w:eastAsia="en-US"/>
              </w:rPr>
              <w:t>we prefer that these F1AP BAP configurations are configured and managed separately.</w:t>
            </w:r>
            <w:r w:rsidRPr="00B934AC">
              <w:rPr>
                <w:rFonts w:eastAsia="Times New Roman" w:cs="Times New Roman"/>
                <w:kern w:val="0"/>
                <w:sz w:val="20"/>
                <w:szCs w:val="20"/>
                <w:lang w:val="en-GB" w:eastAsia="en-US"/>
              </w:rPr>
              <w:t xml:space="preserve"> It is suggested to </w:t>
            </w:r>
            <w:r w:rsidRPr="00B934AC">
              <w:rPr>
                <w:rFonts w:eastAsia="Times New Roman" w:cs="Times New Roman"/>
                <w:kern w:val="0"/>
                <w:sz w:val="20"/>
                <w:szCs w:val="20"/>
                <w:highlight w:val="yellow"/>
                <w:lang w:val="en-GB" w:eastAsia="en-US"/>
              </w:rPr>
              <w:t>leave the details to implementation.</w:t>
            </w:r>
            <w:r w:rsidRPr="00B934AC">
              <w:rPr>
                <w:rFonts w:eastAsia="Times New Roman" w:cs="Times New Roman"/>
                <w:kern w:val="0"/>
                <w:sz w:val="20"/>
                <w:szCs w:val="20"/>
                <w:lang w:val="en-GB" w:eastAsia="en-US"/>
              </w:rPr>
              <w:t> </w:t>
            </w:r>
          </w:p>
        </w:tc>
      </w:tr>
      <w:tr w:rsidR="00B934AC" w:rsidRPr="00B934AC" w14:paraId="6DD6996A" w14:textId="77777777" w:rsidTr="00D93317">
        <w:tc>
          <w:tcPr>
            <w:tcW w:w="0" w:type="auto"/>
            <w:tcBorders>
              <w:top w:val="nil"/>
              <w:left w:val="single" w:sz="8" w:space="0" w:color="000000"/>
              <w:bottom w:val="single" w:sz="4" w:space="0" w:color="auto"/>
              <w:right w:val="single" w:sz="8" w:space="0" w:color="000000"/>
            </w:tcBorders>
            <w:hideMark/>
          </w:tcPr>
          <w:p w14:paraId="28B409F5" w14:textId="28B24251"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vivo</w:t>
            </w:r>
          </w:p>
        </w:tc>
        <w:tc>
          <w:tcPr>
            <w:tcW w:w="0" w:type="auto"/>
            <w:tcBorders>
              <w:top w:val="nil"/>
              <w:left w:val="nil"/>
              <w:bottom w:val="single" w:sz="4" w:space="0" w:color="auto"/>
              <w:right w:val="single" w:sz="8" w:space="0" w:color="000000"/>
            </w:tcBorders>
            <w:hideMark/>
          </w:tcPr>
          <w:p w14:paraId="1DEED10D"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We tend to agree that </w:t>
            </w:r>
            <w:r w:rsidRPr="00B934AC">
              <w:rPr>
                <w:rFonts w:eastAsia="Times New Roman" w:cs="Times New Roman"/>
                <w:kern w:val="0"/>
                <w:sz w:val="20"/>
                <w:szCs w:val="20"/>
                <w:highlight w:val="yellow"/>
                <w:lang w:val="en-GB" w:eastAsia="en-US"/>
              </w:rPr>
              <w:t>F1AP BAP config can be done separately in an implementation manner.</w:t>
            </w:r>
            <w:r w:rsidRPr="00B934AC">
              <w:rPr>
                <w:rFonts w:eastAsia="Times New Roman" w:cs="Times New Roman"/>
                <w:kern w:val="0"/>
                <w:sz w:val="20"/>
                <w:szCs w:val="20"/>
                <w:lang w:val="en-GB" w:eastAsia="en-US"/>
              </w:rPr>
              <w:t xml:space="preserve"> But, we are open to discuss whether anything else is needed.</w:t>
            </w:r>
          </w:p>
        </w:tc>
      </w:tr>
      <w:tr w:rsidR="00B934AC" w:rsidRPr="00B934AC" w14:paraId="6727D44B" w14:textId="77777777" w:rsidTr="00D93317">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7277" w14:textId="06235769"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Apple</w:t>
            </w:r>
          </w:p>
        </w:tc>
        <w:tc>
          <w:tcPr>
            <w:tcW w:w="20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C1BEC"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We prefer to leave it to implementation. </w:t>
            </w:r>
          </w:p>
        </w:tc>
      </w:tr>
      <w:tr w:rsidR="00B934AC" w:rsidRPr="00B934AC" w14:paraId="493AFC91" w14:textId="77777777" w:rsidTr="00D93317">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3DD9" w14:textId="77777777" w:rsidR="00B934AC" w:rsidRPr="00B934AC" w:rsidRDefault="00B934AC" w:rsidP="00B934AC">
            <w:pPr>
              <w:widowControl/>
              <w:spacing w:beforeLines="50" w:before="120"/>
              <w:rPr>
                <w:rFonts w:eastAsia="Times New Roman" w:cs="Times New Roman"/>
                <w:kern w:val="0"/>
                <w:sz w:val="20"/>
                <w:szCs w:val="20"/>
                <w:lang w:val="en-GB" w:eastAsia="en-US"/>
              </w:rPr>
            </w:pPr>
          </w:p>
        </w:tc>
        <w:tc>
          <w:tcPr>
            <w:tcW w:w="20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B0A9" w14:textId="77777777" w:rsidR="00B934AC" w:rsidRPr="00B934AC" w:rsidRDefault="00B934AC" w:rsidP="00B934AC">
            <w:pPr>
              <w:widowControl/>
              <w:spacing w:beforeLines="50" w:before="120"/>
              <w:rPr>
                <w:rFonts w:eastAsia="Times New Roman" w:cs="Times New Roman"/>
                <w:kern w:val="0"/>
                <w:sz w:val="20"/>
                <w:szCs w:val="20"/>
                <w:lang w:val="en-GB" w:eastAsia="en-US"/>
              </w:rPr>
            </w:pPr>
          </w:p>
        </w:tc>
      </w:tr>
    </w:tbl>
    <w:p w14:paraId="54AE327D" w14:textId="2C47F19E" w:rsidR="00B934AC" w:rsidRPr="00B934AC" w:rsidRDefault="00161DC4" w:rsidP="00B934AC">
      <w:pPr>
        <w:widowControl/>
        <w:spacing w:after="180"/>
        <w:jc w:val="left"/>
        <w:rPr>
          <w:rFonts w:ascii="Calibri" w:eastAsia="Times New Roman" w:hAnsi="Calibri" w:cs="Calibri"/>
          <w:kern w:val="0"/>
          <w:sz w:val="22"/>
          <w:lang w:val="en-GB" w:eastAsia="en-US"/>
        </w:rPr>
      </w:pPr>
      <w:r>
        <w:rPr>
          <w:rFonts w:eastAsia="Times New Roman" w:cs="Times New Roman"/>
          <w:kern w:val="0"/>
          <w:sz w:val="20"/>
          <w:szCs w:val="20"/>
          <w:lang w:val="en-GB" w:eastAsia="en-US"/>
        </w:rPr>
        <w:t xml:space="preserve"> </w:t>
      </w:r>
    </w:p>
    <w:p w14:paraId="39D3CE9C" w14:textId="77777777" w:rsidR="00B934AC" w:rsidRPr="00A94F95" w:rsidRDefault="00B934AC" w:rsidP="00A94F95">
      <w:pPr>
        <w:pStyle w:val="2"/>
        <w:rPr>
          <w:rFonts w:ascii="Times New Roman" w:hAnsi="Times New Roman"/>
        </w:rPr>
      </w:pPr>
      <w:r w:rsidRPr="00A94F95">
        <w:rPr>
          <w:rFonts w:ascii="Times New Roman" w:hAnsi="Times New Roman"/>
        </w:rPr>
        <w:t>Comments to Issue 2 in downstream</w:t>
      </w:r>
    </w:p>
    <w:tbl>
      <w:tblPr>
        <w:tblW w:w="0" w:type="auto"/>
        <w:tblCellMar>
          <w:left w:w="0" w:type="dxa"/>
          <w:right w:w="0" w:type="dxa"/>
        </w:tblCellMar>
        <w:tblLook w:val="04A0" w:firstRow="1" w:lastRow="0" w:firstColumn="1" w:lastColumn="0" w:noHBand="0" w:noVBand="1"/>
      </w:tblPr>
      <w:tblGrid>
        <w:gridCol w:w="983"/>
        <w:gridCol w:w="8635"/>
      </w:tblGrid>
      <w:tr w:rsidR="00B934AC" w:rsidRPr="00B934AC" w14:paraId="1E3A9714" w14:textId="77777777" w:rsidTr="00D93317">
        <w:tc>
          <w:tcPr>
            <w:tcW w:w="9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AA116A" w14:textId="6470EE54"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QC</w:t>
            </w:r>
          </w:p>
        </w:tc>
        <w:tc>
          <w:tcPr>
            <w:tcW w:w="863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06AC1B6"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On Case 2: How can the RX side of the BAP entity at the IAB-MT know to which logical DU to deliver the received BAP SDU.</w:t>
            </w:r>
          </w:p>
          <w:p w14:paraId="2A96316B" w14:textId="77777777" w:rsidR="00B934AC" w:rsidRPr="00B934AC" w:rsidRDefault="00B934AC" w:rsidP="00B934AC">
            <w:pPr>
              <w:widowControl/>
              <w:spacing w:beforeLines="50" w:before="120"/>
              <w:ind w:hanging="36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The two logical IAB-DUs represent separate application-layer instances. The BAP layer is not supposed to direct the packet to an application-layer instance, but to only pass it up to the IP layer.</w:t>
            </w:r>
          </w:p>
          <w:p w14:paraId="5EF2A897" w14:textId="77777777" w:rsidR="00B934AC" w:rsidRPr="00B934AC" w:rsidRDefault="00B934AC" w:rsidP="00B934AC">
            <w:pPr>
              <w:widowControl/>
              <w:spacing w:beforeLines="50" w:before="120"/>
              <w:ind w:hanging="36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The IP layer passes the packet to the transport layer socket based on the packet’s 5-tupel (SRC IP, DST IP, SRC Protocol Number, DST Protocol Number, Protocol type), or, for IPv6 IPsec protected packets, based on the 3-tupel (SRC IP, DST IP, SPI). In both cases, at least the SRC IP address is different for packets to IAB-DU3a vs. IAB-DU3b since it corresponds to C1 vs. CU2. Note that the two application layer instances (i.e., logical IAB-DUs) have established these transport layer sockets based on these 5-tupel or 3-tupel during F1 setup. All of this represents off-the-shelf multiplexing of application-layer instances on the same host, and it is natively supported by the OS.</w:t>
            </w:r>
          </w:p>
        </w:tc>
      </w:tr>
      <w:tr w:rsidR="00B934AC" w:rsidRPr="00B934AC" w14:paraId="4524C258" w14:textId="77777777" w:rsidTr="00D93317">
        <w:tc>
          <w:tcPr>
            <w:tcW w:w="9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C29529" w14:textId="059CF990"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Huawei</w:t>
            </w:r>
          </w:p>
        </w:tc>
        <w:tc>
          <w:tcPr>
            <w:tcW w:w="8636" w:type="dxa"/>
            <w:tcBorders>
              <w:top w:val="nil"/>
              <w:left w:val="nil"/>
              <w:bottom w:val="single" w:sz="8" w:space="0" w:color="000000"/>
              <w:right w:val="single" w:sz="8" w:space="0" w:color="000000"/>
            </w:tcBorders>
            <w:tcMar>
              <w:top w:w="0" w:type="dxa"/>
              <w:left w:w="108" w:type="dxa"/>
              <w:bottom w:w="0" w:type="dxa"/>
              <w:right w:w="108" w:type="dxa"/>
            </w:tcMar>
            <w:hideMark/>
          </w:tcPr>
          <w:p w14:paraId="6BE116E4"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Reply to above:</w:t>
            </w:r>
          </w:p>
          <w:p w14:paraId="3538103B"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This seems option 3: Using different IP address of the donor CU. i.e. relying on F1AP layer to differentiate the received message to corresponding F1AP entity by considering the source IP address.</w:t>
            </w:r>
          </w:p>
          <w:p w14:paraId="42D37463"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It also works, if RAN3 agree on this option.</w:t>
            </w:r>
          </w:p>
        </w:tc>
      </w:tr>
      <w:tr w:rsidR="00B934AC" w:rsidRPr="00B934AC" w14:paraId="0CF916FB" w14:textId="77777777" w:rsidTr="00D93317">
        <w:tc>
          <w:tcPr>
            <w:tcW w:w="9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B98F17" w14:textId="71BC9492"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lastRenderedPageBreak/>
              <w:t>Nokia</w:t>
            </w:r>
          </w:p>
        </w:tc>
        <w:tc>
          <w:tcPr>
            <w:tcW w:w="8636" w:type="dxa"/>
            <w:tcBorders>
              <w:top w:val="nil"/>
              <w:left w:val="nil"/>
              <w:bottom w:val="single" w:sz="8" w:space="0" w:color="000000"/>
              <w:right w:val="single" w:sz="8" w:space="0" w:color="000000"/>
            </w:tcBorders>
            <w:tcMar>
              <w:top w:w="0" w:type="dxa"/>
              <w:left w:w="108" w:type="dxa"/>
              <w:bottom w:w="0" w:type="dxa"/>
              <w:right w:w="108" w:type="dxa"/>
            </w:tcMar>
            <w:hideMark/>
          </w:tcPr>
          <w:p w14:paraId="2FB34F61"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Similar view as QC.</w:t>
            </w:r>
          </w:p>
        </w:tc>
      </w:tr>
      <w:tr w:rsidR="00B934AC" w:rsidRPr="00B934AC" w14:paraId="6B9B7974" w14:textId="77777777" w:rsidTr="00D93317">
        <w:tc>
          <w:tcPr>
            <w:tcW w:w="9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EC9D43"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Ericsson</w:t>
            </w:r>
          </w:p>
        </w:tc>
        <w:tc>
          <w:tcPr>
            <w:tcW w:w="8636" w:type="dxa"/>
            <w:tcBorders>
              <w:top w:val="nil"/>
              <w:left w:val="nil"/>
              <w:bottom w:val="single" w:sz="8" w:space="0" w:color="000000"/>
              <w:right w:val="single" w:sz="8" w:space="0" w:color="000000"/>
            </w:tcBorders>
            <w:tcMar>
              <w:top w:w="0" w:type="dxa"/>
              <w:left w:w="108" w:type="dxa"/>
              <w:bottom w:w="0" w:type="dxa"/>
              <w:right w:w="108" w:type="dxa"/>
            </w:tcMar>
            <w:hideMark/>
          </w:tcPr>
          <w:p w14:paraId="7A5A0C6C"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Agree F1AP layer should be able to differentiate</w:t>
            </w:r>
          </w:p>
        </w:tc>
      </w:tr>
      <w:tr w:rsidR="00B934AC" w:rsidRPr="00B934AC" w14:paraId="703406D1" w14:textId="77777777" w:rsidTr="00D93317">
        <w:tc>
          <w:tcPr>
            <w:tcW w:w="98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7F7651FF" w14:textId="6C1A6DD3"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Samsung</w:t>
            </w:r>
          </w:p>
        </w:tc>
        <w:tc>
          <w:tcPr>
            <w:tcW w:w="8636" w:type="dxa"/>
            <w:tcBorders>
              <w:top w:val="nil"/>
              <w:left w:val="nil"/>
              <w:bottom w:val="single" w:sz="8" w:space="0" w:color="auto"/>
              <w:right w:val="single" w:sz="8" w:space="0" w:color="000000"/>
            </w:tcBorders>
            <w:tcMar>
              <w:top w:w="0" w:type="dxa"/>
              <w:left w:w="108" w:type="dxa"/>
              <w:bottom w:w="0" w:type="dxa"/>
              <w:right w:w="108" w:type="dxa"/>
            </w:tcMar>
            <w:hideMark/>
          </w:tcPr>
          <w:p w14:paraId="79348DE2"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 xml:space="preserve">I share the same understanding as QC. The source IP can be used. One thing I have to mention that this </w:t>
            </w:r>
            <w:r w:rsidRPr="00B934AC">
              <w:rPr>
                <w:rFonts w:eastAsia="Times New Roman" w:cs="Times New Roman"/>
                <w:kern w:val="0"/>
                <w:sz w:val="20"/>
                <w:szCs w:val="20"/>
                <w:highlight w:val="yellow"/>
                <w:lang w:val="en-GB" w:eastAsia="en-US"/>
              </w:rPr>
              <w:t>does not mean the two DUs should share the same IP address</w:t>
            </w:r>
            <w:r w:rsidRPr="00B934AC">
              <w:rPr>
                <w:rFonts w:eastAsia="Times New Roman" w:cs="Times New Roman"/>
                <w:kern w:val="0"/>
                <w:sz w:val="20"/>
                <w:szCs w:val="20"/>
                <w:lang w:val="en-GB" w:eastAsia="en-US"/>
              </w:rPr>
              <w:t xml:space="preserve">, i.e., IAB-DU3b can choose different IP address from the IAB-DU3a for F1 traffic transmission with IAB-DU3b terminating donor CU since IP address selection is IAB-DU’s implementation issue. </w:t>
            </w:r>
            <w:r w:rsidRPr="00B934AC">
              <w:rPr>
                <w:rFonts w:eastAsia="Times New Roman" w:cs="Times New Roman"/>
                <w:kern w:val="0"/>
                <w:sz w:val="20"/>
                <w:szCs w:val="20"/>
                <w:highlight w:val="yellow"/>
                <w:lang w:val="en-GB" w:eastAsia="en-US"/>
              </w:rPr>
              <w:t>In this sense, the DST IP address can be also used to differentiate packets towards to different DUs.</w:t>
            </w:r>
          </w:p>
        </w:tc>
      </w:tr>
      <w:tr w:rsidR="00B934AC" w:rsidRPr="00B934AC" w14:paraId="50555C4B" w14:textId="77777777" w:rsidTr="00D93317">
        <w:tc>
          <w:tcPr>
            <w:tcW w:w="9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A14F1F" w14:textId="62AFCFD6"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LGE</w:t>
            </w:r>
          </w:p>
        </w:tc>
        <w:tc>
          <w:tcPr>
            <w:tcW w:w="8636" w:type="dxa"/>
            <w:tcBorders>
              <w:top w:val="nil"/>
              <w:left w:val="nil"/>
              <w:bottom w:val="single" w:sz="8" w:space="0" w:color="000000"/>
              <w:right w:val="single" w:sz="8" w:space="0" w:color="000000"/>
            </w:tcBorders>
            <w:tcMar>
              <w:top w:w="0" w:type="dxa"/>
              <w:left w:w="108" w:type="dxa"/>
              <w:bottom w:w="0" w:type="dxa"/>
              <w:right w:w="108" w:type="dxa"/>
            </w:tcMar>
            <w:hideMark/>
          </w:tcPr>
          <w:p w14:paraId="2F64FD47"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Agree with above companies. Upper layer like F1AP or IP layer can differentiate downstream traffic. BAP operation at MT side may not need to be specified.</w:t>
            </w:r>
          </w:p>
        </w:tc>
      </w:tr>
      <w:tr w:rsidR="00B934AC" w:rsidRPr="00B934AC" w14:paraId="54E70DE7" w14:textId="77777777" w:rsidTr="00D93317">
        <w:tc>
          <w:tcPr>
            <w:tcW w:w="983" w:type="dxa"/>
            <w:tcBorders>
              <w:top w:val="nil"/>
              <w:left w:val="single" w:sz="8" w:space="0" w:color="000000"/>
              <w:bottom w:val="single" w:sz="8" w:space="0" w:color="000000"/>
              <w:right w:val="single" w:sz="8" w:space="0" w:color="000000"/>
            </w:tcBorders>
            <w:hideMark/>
          </w:tcPr>
          <w:p w14:paraId="4090A728" w14:textId="11EAD8E9"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ZTE</w:t>
            </w:r>
          </w:p>
        </w:tc>
        <w:tc>
          <w:tcPr>
            <w:tcW w:w="8636" w:type="dxa"/>
            <w:tcBorders>
              <w:top w:val="nil"/>
              <w:left w:val="nil"/>
              <w:bottom w:val="single" w:sz="8" w:space="0" w:color="000000"/>
              <w:right w:val="single" w:sz="8" w:space="0" w:color="000000"/>
            </w:tcBorders>
            <w:hideMark/>
          </w:tcPr>
          <w:p w14:paraId="086990DC"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We agree that the option proposed by QC is a feasible solution. </w:t>
            </w:r>
          </w:p>
        </w:tc>
      </w:tr>
      <w:tr w:rsidR="00B934AC" w:rsidRPr="00B934AC" w14:paraId="74FD632F" w14:textId="77777777" w:rsidTr="00D93317">
        <w:tc>
          <w:tcPr>
            <w:tcW w:w="983" w:type="dxa"/>
            <w:tcBorders>
              <w:top w:val="nil"/>
              <w:left w:val="single" w:sz="8" w:space="0" w:color="000000"/>
              <w:bottom w:val="single" w:sz="4" w:space="0" w:color="auto"/>
              <w:right w:val="single" w:sz="8" w:space="0" w:color="000000"/>
            </w:tcBorders>
            <w:hideMark/>
          </w:tcPr>
          <w:p w14:paraId="7BD468F3" w14:textId="2B426BAE" w:rsidR="00B934AC" w:rsidRPr="00B934AC" w:rsidRDefault="00B934AC" w:rsidP="00F87D78">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vivo</w:t>
            </w:r>
          </w:p>
        </w:tc>
        <w:tc>
          <w:tcPr>
            <w:tcW w:w="8636" w:type="dxa"/>
            <w:tcBorders>
              <w:top w:val="nil"/>
              <w:left w:val="nil"/>
              <w:bottom w:val="single" w:sz="4" w:space="0" w:color="auto"/>
              <w:right w:val="single" w:sz="8" w:space="0" w:color="000000"/>
            </w:tcBorders>
            <w:hideMark/>
          </w:tcPr>
          <w:p w14:paraId="1ECB36AE"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Agree with Lin.</w:t>
            </w:r>
          </w:p>
        </w:tc>
      </w:tr>
      <w:tr w:rsidR="00B934AC" w:rsidRPr="00B934AC" w14:paraId="10E92EBA" w14:textId="77777777" w:rsidTr="00D93317">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30832" w14:textId="43EF9F9B" w:rsidR="00B934AC" w:rsidRPr="00B934AC" w:rsidRDefault="00F87D78" w:rsidP="00B934AC">
            <w:pPr>
              <w:widowControl/>
              <w:spacing w:beforeLines="50" w:before="120"/>
              <w:rPr>
                <w:rFonts w:eastAsia="Times New Roman" w:cs="Times New Roman"/>
                <w:kern w:val="0"/>
                <w:sz w:val="20"/>
                <w:szCs w:val="20"/>
                <w:lang w:val="en-GB" w:eastAsia="en-US"/>
              </w:rPr>
            </w:pPr>
            <w:r>
              <w:rPr>
                <w:rFonts w:eastAsia="Times New Roman" w:cs="Times New Roman"/>
                <w:kern w:val="0"/>
                <w:sz w:val="20"/>
                <w:szCs w:val="20"/>
                <w:lang w:val="en-GB" w:eastAsia="en-US"/>
              </w:rPr>
              <w:t>Apple</w:t>
            </w:r>
          </w:p>
        </w:tc>
        <w:tc>
          <w:tcPr>
            <w:tcW w:w="86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4566" w14:textId="77777777" w:rsidR="00B934AC" w:rsidRPr="00B934AC" w:rsidRDefault="00B934AC" w:rsidP="00B934AC">
            <w:pPr>
              <w:widowControl/>
              <w:spacing w:beforeLines="50" w:before="120"/>
              <w:rPr>
                <w:rFonts w:eastAsia="Times New Roman" w:cs="Times New Roman"/>
                <w:kern w:val="0"/>
                <w:sz w:val="20"/>
                <w:szCs w:val="20"/>
                <w:lang w:val="en-GB" w:eastAsia="en-US"/>
              </w:rPr>
            </w:pPr>
            <w:r w:rsidRPr="00B934AC">
              <w:rPr>
                <w:rFonts w:eastAsia="Times New Roman" w:cs="Times New Roman"/>
                <w:kern w:val="0"/>
                <w:sz w:val="20"/>
                <w:szCs w:val="20"/>
                <w:lang w:val="en-GB" w:eastAsia="en-US"/>
              </w:rPr>
              <w:t>Same understanding as Qualcomm. </w:t>
            </w:r>
          </w:p>
        </w:tc>
      </w:tr>
      <w:tr w:rsidR="00B934AC" w:rsidRPr="00B934AC" w14:paraId="79738914" w14:textId="77777777" w:rsidTr="00D93317">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52C9" w14:textId="77777777" w:rsidR="00B934AC" w:rsidRPr="00B934AC" w:rsidRDefault="00B934AC" w:rsidP="00B934AC">
            <w:pPr>
              <w:widowControl/>
              <w:spacing w:beforeLines="50" w:before="120"/>
              <w:rPr>
                <w:rFonts w:eastAsia="Times New Roman" w:cs="Times New Roman"/>
                <w:kern w:val="0"/>
                <w:sz w:val="20"/>
                <w:szCs w:val="20"/>
                <w:lang w:val="en-GB" w:eastAsia="en-US"/>
              </w:rPr>
            </w:pPr>
          </w:p>
        </w:tc>
        <w:tc>
          <w:tcPr>
            <w:tcW w:w="86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D238" w14:textId="77777777" w:rsidR="00B934AC" w:rsidRPr="00B934AC" w:rsidRDefault="00B934AC" w:rsidP="00B934AC">
            <w:pPr>
              <w:widowControl/>
              <w:spacing w:beforeLines="50" w:before="120"/>
              <w:rPr>
                <w:rFonts w:eastAsia="Times New Roman" w:cs="Times New Roman"/>
                <w:kern w:val="0"/>
                <w:sz w:val="20"/>
                <w:szCs w:val="20"/>
                <w:lang w:val="en-GB" w:eastAsia="en-US"/>
              </w:rPr>
            </w:pPr>
          </w:p>
        </w:tc>
      </w:tr>
    </w:tbl>
    <w:p w14:paraId="4ADC4BA9" w14:textId="0D11B106" w:rsidR="003F0B5A" w:rsidRPr="00B934AC" w:rsidRDefault="003F0B5A" w:rsidP="00B934AC">
      <w:pPr>
        <w:rPr>
          <w:sz w:val="20"/>
          <w:szCs w:val="20"/>
        </w:rPr>
      </w:pPr>
    </w:p>
    <w:sectPr w:rsidR="003F0B5A" w:rsidRPr="00B934AC">
      <w:headerReference w:type="even"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E6731" w14:textId="77777777" w:rsidR="00F53C21" w:rsidRDefault="00F53C21">
      <w:r>
        <w:separator/>
      </w:r>
    </w:p>
  </w:endnote>
  <w:endnote w:type="continuationSeparator" w:id="0">
    <w:p w14:paraId="54C6145A" w14:textId="77777777" w:rsidR="00F53C21" w:rsidRDefault="00F5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1F1E5C" w:rsidRDefault="001F1E5C">
    <w:pPr>
      <w:pStyle w:val="aa"/>
      <w:jc w:val="right"/>
    </w:pPr>
    <w:r>
      <w:fldChar w:fldCharType="begin"/>
    </w:r>
    <w:r>
      <w:instrText xml:space="preserve"> PAGE   \* MERGEFORMAT </w:instrText>
    </w:r>
    <w:r>
      <w:fldChar w:fldCharType="separate"/>
    </w:r>
    <w:r w:rsidR="004E35AF">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364C9" w14:textId="77777777" w:rsidR="00F53C21" w:rsidRDefault="00F53C21">
      <w:r>
        <w:separator/>
      </w:r>
    </w:p>
  </w:footnote>
  <w:footnote w:type="continuationSeparator" w:id="0">
    <w:p w14:paraId="74FED075" w14:textId="77777777" w:rsidR="00F53C21" w:rsidRDefault="00F53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1F1E5C" w:rsidRDefault="001F1E5C"/>
  <w:p w14:paraId="41EB02E3" w14:textId="77777777" w:rsidR="001F1E5C" w:rsidRDefault="001F1E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87C4CA9E"/>
    <w:lvl w:ilvl="0">
      <w:start w:val="1"/>
      <w:numFmt w:val="decimal"/>
      <w:lvlText w:val="%1."/>
      <w:lvlJc w:val="left"/>
      <w:pPr>
        <w:ind w:left="425" w:hanging="425"/>
      </w:pPr>
      <w:rPr>
        <w:lang w:val="en-US"/>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8E326C1"/>
    <w:multiLevelType w:val="hybridMultilevel"/>
    <w:tmpl w:val="CD6AD7B8"/>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53C1E"/>
    <w:multiLevelType w:val="hybridMultilevel"/>
    <w:tmpl w:val="1FD2205C"/>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2C3F3B"/>
    <w:multiLevelType w:val="hybridMultilevel"/>
    <w:tmpl w:val="00F4F0DE"/>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D92CAB"/>
    <w:multiLevelType w:val="hybridMultilevel"/>
    <w:tmpl w:val="A73A01C0"/>
    <w:lvl w:ilvl="0" w:tplc="88C8C648">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6"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4B6FB1"/>
    <w:multiLevelType w:val="hybridMultilevel"/>
    <w:tmpl w:val="4704F1EE"/>
    <w:lvl w:ilvl="0" w:tplc="57CA5B48">
      <w:start w:val="5"/>
      <w:numFmt w:val="bullet"/>
      <w:lvlText w:val="Þ"/>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AA6B4B"/>
    <w:multiLevelType w:val="hybridMultilevel"/>
    <w:tmpl w:val="2DC8CB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831F96"/>
    <w:multiLevelType w:val="hybridMultilevel"/>
    <w:tmpl w:val="00CCE47C"/>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17"/>
  </w:num>
  <w:num w:numId="4">
    <w:abstractNumId w:val="11"/>
  </w:num>
  <w:num w:numId="5">
    <w:abstractNumId w:val="16"/>
  </w:num>
  <w:num w:numId="6">
    <w:abstractNumId w:val="14"/>
  </w:num>
  <w:num w:numId="7">
    <w:abstractNumId w:val="6"/>
  </w:num>
  <w:num w:numId="8">
    <w:abstractNumId w:val="10"/>
  </w:num>
  <w:num w:numId="9">
    <w:abstractNumId w:val="8"/>
  </w:num>
  <w:num w:numId="10">
    <w:abstractNumId w:val="0"/>
  </w:num>
  <w:num w:numId="11">
    <w:abstractNumId w:val="12"/>
  </w:num>
  <w:num w:numId="12">
    <w:abstractNumId w:val="15"/>
  </w:num>
  <w:num w:numId="13">
    <w:abstractNumId w:val="2"/>
  </w:num>
  <w:num w:numId="14">
    <w:abstractNumId w:val="9"/>
  </w:num>
  <w:num w:numId="15">
    <w:abstractNumId w:val="3"/>
  </w:num>
  <w:num w:numId="16">
    <w:abstractNumId w:val="1"/>
  </w:num>
  <w:num w:numId="17">
    <w:abstractNumId w:val="13"/>
  </w:num>
  <w:num w:numId="1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3061"/>
    <w:rsid w:val="000030B3"/>
    <w:rsid w:val="00003368"/>
    <w:rsid w:val="0000392E"/>
    <w:rsid w:val="00004AAC"/>
    <w:rsid w:val="00010FF7"/>
    <w:rsid w:val="000114AB"/>
    <w:rsid w:val="000117D5"/>
    <w:rsid w:val="00012FA3"/>
    <w:rsid w:val="00013716"/>
    <w:rsid w:val="00013808"/>
    <w:rsid w:val="00013966"/>
    <w:rsid w:val="00013E9A"/>
    <w:rsid w:val="00014587"/>
    <w:rsid w:val="00015926"/>
    <w:rsid w:val="00015C81"/>
    <w:rsid w:val="000165EA"/>
    <w:rsid w:val="0001693D"/>
    <w:rsid w:val="00016962"/>
    <w:rsid w:val="00016B12"/>
    <w:rsid w:val="00016BC0"/>
    <w:rsid w:val="000170AE"/>
    <w:rsid w:val="0001760B"/>
    <w:rsid w:val="00017C54"/>
    <w:rsid w:val="00020624"/>
    <w:rsid w:val="0002077A"/>
    <w:rsid w:val="000213F9"/>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0912"/>
    <w:rsid w:val="00031014"/>
    <w:rsid w:val="000312B3"/>
    <w:rsid w:val="00031309"/>
    <w:rsid w:val="00032A4F"/>
    <w:rsid w:val="00033D91"/>
    <w:rsid w:val="00033DA0"/>
    <w:rsid w:val="00033E33"/>
    <w:rsid w:val="00034186"/>
    <w:rsid w:val="000342F0"/>
    <w:rsid w:val="00034358"/>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31A"/>
    <w:rsid w:val="00043D06"/>
    <w:rsid w:val="00043EF4"/>
    <w:rsid w:val="00044289"/>
    <w:rsid w:val="00044536"/>
    <w:rsid w:val="000450F0"/>
    <w:rsid w:val="0004520F"/>
    <w:rsid w:val="00045A31"/>
    <w:rsid w:val="00045B44"/>
    <w:rsid w:val="00045D7F"/>
    <w:rsid w:val="00045E9C"/>
    <w:rsid w:val="000464B7"/>
    <w:rsid w:val="0004706C"/>
    <w:rsid w:val="000472A9"/>
    <w:rsid w:val="00050381"/>
    <w:rsid w:val="0005130B"/>
    <w:rsid w:val="000518A9"/>
    <w:rsid w:val="00051C36"/>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2DB"/>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0DB3"/>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C3F"/>
    <w:rsid w:val="00096EA2"/>
    <w:rsid w:val="00097126"/>
    <w:rsid w:val="000973DF"/>
    <w:rsid w:val="000A08AB"/>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40B5"/>
    <w:rsid w:val="000C44BE"/>
    <w:rsid w:val="000C44DB"/>
    <w:rsid w:val="000C4935"/>
    <w:rsid w:val="000C4FEC"/>
    <w:rsid w:val="000C52BE"/>
    <w:rsid w:val="000C5AAE"/>
    <w:rsid w:val="000C682E"/>
    <w:rsid w:val="000D25D8"/>
    <w:rsid w:val="000D3469"/>
    <w:rsid w:val="000D3724"/>
    <w:rsid w:val="000D3937"/>
    <w:rsid w:val="000D4025"/>
    <w:rsid w:val="000D4D35"/>
    <w:rsid w:val="000D5402"/>
    <w:rsid w:val="000D54AA"/>
    <w:rsid w:val="000D5EC5"/>
    <w:rsid w:val="000D6934"/>
    <w:rsid w:val="000D6ED8"/>
    <w:rsid w:val="000D7835"/>
    <w:rsid w:val="000E01C2"/>
    <w:rsid w:val="000E0F43"/>
    <w:rsid w:val="000E1047"/>
    <w:rsid w:val="000E1384"/>
    <w:rsid w:val="000E1761"/>
    <w:rsid w:val="000E187A"/>
    <w:rsid w:val="000E1AD3"/>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0B30"/>
    <w:rsid w:val="001019D9"/>
    <w:rsid w:val="00102953"/>
    <w:rsid w:val="0010320D"/>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52F5"/>
    <w:rsid w:val="0011643C"/>
    <w:rsid w:val="00116959"/>
    <w:rsid w:val="00121206"/>
    <w:rsid w:val="00121310"/>
    <w:rsid w:val="00121691"/>
    <w:rsid w:val="00121A62"/>
    <w:rsid w:val="00122339"/>
    <w:rsid w:val="00122AE4"/>
    <w:rsid w:val="00122FB2"/>
    <w:rsid w:val="001230C2"/>
    <w:rsid w:val="001239D1"/>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2917"/>
    <w:rsid w:val="00143206"/>
    <w:rsid w:val="001442DE"/>
    <w:rsid w:val="001469BB"/>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6AC"/>
    <w:rsid w:val="00157D2F"/>
    <w:rsid w:val="00157E3B"/>
    <w:rsid w:val="00160044"/>
    <w:rsid w:val="001609FE"/>
    <w:rsid w:val="00160EDF"/>
    <w:rsid w:val="00161DC4"/>
    <w:rsid w:val="00162146"/>
    <w:rsid w:val="0016327B"/>
    <w:rsid w:val="001633E2"/>
    <w:rsid w:val="00164CE2"/>
    <w:rsid w:val="00165B54"/>
    <w:rsid w:val="00165F27"/>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1411"/>
    <w:rsid w:val="0018224F"/>
    <w:rsid w:val="0018308A"/>
    <w:rsid w:val="00183307"/>
    <w:rsid w:val="001837F3"/>
    <w:rsid w:val="00184029"/>
    <w:rsid w:val="00184B45"/>
    <w:rsid w:val="00185BC2"/>
    <w:rsid w:val="001865B1"/>
    <w:rsid w:val="0019074B"/>
    <w:rsid w:val="00190A6B"/>
    <w:rsid w:val="00190E8C"/>
    <w:rsid w:val="00191754"/>
    <w:rsid w:val="00191FB0"/>
    <w:rsid w:val="00193815"/>
    <w:rsid w:val="00193D36"/>
    <w:rsid w:val="00194379"/>
    <w:rsid w:val="00194DF4"/>
    <w:rsid w:val="00195073"/>
    <w:rsid w:val="0019520A"/>
    <w:rsid w:val="00195757"/>
    <w:rsid w:val="00195E20"/>
    <w:rsid w:val="001972C4"/>
    <w:rsid w:val="00197EF4"/>
    <w:rsid w:val="001A014C"/>
    <w:rsid w:val="001A0248"/>
    <w:rsid w:val="001A1A94"/>
    <w:rsid w:val="001A29D7"/>
    <w:rsid w:val="001A31DA"/>
    <w:rsid w:val="001A35F8"/>
    <w:rsid w:val="001A3BC4"/>
    <w:rsid w:val="001A4AF8"/>
    <w:rsid w:val="001A5DEC"/>
    <w:rsid w:val="001A6025"/>
    <w:rsid w:val="001A63C1"/>
    <w:rsid w:val="001A65DA"/>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77F2"/>
    <w:rsid w:val="001B7C4D"/>
    <w:rsid w:val="001C05DA"/>
    <w:rsid w:val="001C0A37"/>
    <w:rsid w:val="001C0A8D"/>
    <w:rsid w:val="001C1B45"/>
    <w:rsid w:val="001C1CDB"/>
    <w:rsid w:val="001C1D4B"/>
    <w:rsid w:val="001C1FE4"/>
    <w:rsid w:val="001C2E83"/>
    <w:rsid w:val="001C423A"/>
    <w:rsid w:val="001C5846"/>
    <w:rsid w:val="001C6C46"/>
    <w:rsid w:val="001C7376"/>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A9F"/>
    <w:rsid w:val="001E5CE7"/>
    <w:rsid w:val="001E632D"/>
    <w:rsid w:val="001E6FC3"/>
    <w:rsid w:val="001E72EA"/>
    <w:rsid w:val="001E7476"/>
    <w:rsid w:val="001E7F2E"/>
    <w:rsid w:val="001F152F"/>
    <w:rsid w:val="001F1914"/>
    <w:rsid w:val="001F1980"/>
    <w:rsid w:val="001F19F6"/>
    <w:rsid w:val="001F1E5C"/>
    <w:rsid w:val="001F29BD"/>
    <w:rsid w:val="001F31F0"/>
    <w:rsid w:val="001F3438"/>
    <w:rsid w:val="001F3DC7"/>
    <w:rsid w:val="001F3FE9"/>
    <w:rsid w:val="001F419A"/>
    <w:rsid w:val="001F4EFB"/>
    <w:rsid w:val="001F5E69"/>
    <w:rsid w:val="001F6003"/>
    <w:rsid w:val="001F6187"/>
    <w:rsid w:val="001F6251"/>
    <w:rsid w:val="001F6FEF"/>
    <w:rsid w:val="002002CC"/>
    <w:rsid w:val="0020139A"/>
    <w:rsid w:val="002019C2"/>
    <w:rsid w:val="002030D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0B2"/>
    <w:rsid w:val="002302F7"/>
    <w:rsid w:val="002312D8"/>
    <w:rsid w:val="0023147E"/>
    <w:rsid w:val="002320BC"/>
    <w:rsid w:val="00232E9B"/>
    <w:rsid w:val="00233156"/>
    <w:rsid w:val="00233732"/>
    <w:rsid w:val="0023389C"/>
    <w:rsid w:val="00233A7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A80"/>
    <w:rsid w:val="002524BB"/>
    <w:rsid w:val="00252ADD"/>
    <w:rsid w:val="002538F3"/>
    <w:rsid w:val="00253EE4"/>
    <w:rsid w:val="0025483C"/>
    <w:rsid w:val="00255213"/>
    <w:rsid w:val="00255D5F"/>
    <w:rsid w:val="00257F0E"/>
    <w:rsid w:val="002600F1"/>
    <w:rsid w:val="00260B85"/>
    <w:rsid w:val="00261813"/>
    <w:rsid w:val="00262AC7"/>
    <w:rsid w:val="00262BBA"/>
    <w:rsid w:val="002636CD"/>
    <w:rsid w:val="00264682"/>
    <w:rsid w:val="0026475A"/>
    <w:rsid w:val="00264AC4"/>
    <w:rsid w:val="00264F2E"/>
    <w:rsid w:val="002650D2"/>
    <w:rsid w:val="00265481"/>
    <w:rsid w:val="002663BB"/>
    <w:rsid w:val="0026665C"/>
    <w:rsid w:val="00267FA3"/>
    <w:rsid w:val="002706C5"/>
    <w:rsid w:val="002714BE"/>
    <w:rsid w:val="00271C40"/>
    <w:rsid w:val="00271E72"/>
    <w:rsid w:val="00272FA2"/>
    <w:rsid w:val="00274404"/>
    <w:rsid w:val="00274A8C"/>
    <w:rsid w:val="00275293"/>
    <w:rsid w:val="00275336"/>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1543"/>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5DED"/>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96D"/>
    <w:rsid w:val="002D0B02"/>
    <w:rsid w:val="002D0DE1"/>
    <w:rsid w:val="002D12E8"/>
    <w:rsid w:val="002D1764"/>
    <w:rsid w:val="002D1D8A"/>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4F9D"/>
    <w:rsid w:val="00305FDA"/>
    <w:rsid w:val="0030653A"/>
    <w:rsid w:val="003074D7"/>
    <w:rsid w:val="00307967"/>
    <w:rsid w:val="00310394"/>
    <w:rsid w:val="00310759"/>
    <w:rsid w:val="00310CA8"/>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556"/>
    <w:rsid w:val="00332BAA"/>
    <w:rsid w:val="003346DD"/>
    <w:rsid w:val="003349E3"/>
    <w:rsid w:val="003349F3"/>
    <w:rsid w:val="00334D64"/>
    <w:rsid w:val="00335213"/>
    <w:rsid w:val="0033527A"/>
    <w:rsid w:val="0033575B"/>
    <w:rsid w:val="00335C9F"/>
    <w:rsid w:val="00335D2F"/>
    <w:rsid w:val="00335F71"/>
    <w:rsid w:val="0033605C"/>
    <w:rsid w:val="00336299"/>
    <w:rsid w:val="003364AD"/>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2BE1"/>
    <w:rsid w:val="00363CD4"/>
    <w:rsid w:val="00364FE7"/>
    <w:rsid w:val="0036539A"/>
    <w:rsid w:val="00365C41"/>
    <w:rsid w:val="00367175"/>
    <w:rsid w:val="003679CB"/>
    <w:rsid w:val="00370E1B"/>
    <w:rsid w:val="0037146C"/>
    <w:rsid w:val="0037165D"/>
    <w:rsid w:val="0037177E"/>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1048"/>
    <w:rsid w:val="003C212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CDD"/>
    <w:rsid w:val="00400E0A"/>
    <w:rsid w:val="004017FB"/>
    <w:rsid w:val="00403BE4"/>
    <w:rsid w:val="00404438"/>
    <w:rsid w:val="004044A3"/>
    <w:rsid w:val="00406A87"/>
    <w:rsid w:val="00406F93"/>
    <w:rsid w:val="00407B6E"/>
    <w:rsid w:val="00407F28"/>
    <w:rsid w:val="00410013"/>
    <w:rsid w:val="00410474"/>
    <w:rsid w:val="00410A40"/>
    <w:rsid w:val="004111A6"/>
    <w:rsid w:val="00411624"/>
    <w:rsid w:val="00411CFF"/>
    <w:rsid w:val="004123B9"/>
    <w:rsid w:val="00413092"/>
    <w:rsid w:val="00413E36"/>
    <w:rsid w:val="00413FA1"/>
    <w:rsid w:val="004144DE"/>
    <w:rsid w:val="00414B30"/>
    <w:rsid w:val="00414E7B"/>
    <w:rsid w:val="00414FB7"/>
    <w:rsid w:val="00415840"/>
    <w:rsid w:val="0041652C"/>
    <w:rsid w:val="00416A51"/>
    <w:rsid w:val="00416A6A"/>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5255"/>
    <w:rsid w:val="0042615F"/>
    <w:rsid w:val="00426582"/>
    <w:rsid w:val="004267E5"/>
    <w:rsid w:val="00426B92"/>
    <w:rsid w:val="00430403"/>
    <w:rsid w:val="00430608"/>
    <w:rsid w:val="00432489"/>
    <w:rsid w:val="00432F04"/>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2D9F"/>
    <w:rsid w:val="00454E6C"/>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F09"/>
    <w:rsid w:val="004662D1"/>
    <w:rsid w:val="00467333"/>
    <w:rsid w:val="00467440"/>
    <w:rsid w:val="004674D5"/>
    <w:rsid w:val="00467D1E"/>
    <w:rsid w:val="00470497"/>
    <w:rsid w:val="0047092E"/>
    <w:rsid w:val="00470DC1"/>
    <w:rsid w:val="00470ED0"/>
    <w:rsid w:val="00470ED7"/>
    <w:rsid w:val="00471744"/>
    <w:rsid w:val="004719D8"/>
    <w:rsid w:val="0047286D"/>
    <w:rsid w:val="00472F55"/>
    <w:rsid w:val="00473111"/>
    <w:rsid w:val="00473124"/>
    <w:rsid w:val="004738F6"/>
    <w:rsid w:val="0047446C"/>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7CE8"/>
    <w:rsid w:val="00490072"/>
    <w:rsid w:val="004903E2"/>
    <w:rsid w:val="00490A5D"/>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3FC8"/>
    <w:rsid w:val="004A5045"/>
    <w:rsid w:val="004A5887"/>
    <w:rsid w:val="004A6317"/>
    <w:rsid w:val="004A688C"/>
    <w:rsid w:val="004A6F47"/>
    <w:rsid w:val="004A715C"/>
    <w:rsid w:val="004A735C"/>
    <w:rsid w:val="004A748D"/>
    <w:rsid w:val="004A7ACC"/>
    <w:rsid w:val="004B0407"/>
    <w:rsid w:val="004B175E"/>
    <w:rsid w:val="004B2AE5"/>
    <w:rsid w:val="004B37C7"/>
    <w:rsid w:val="004B3C5E"/>
    <w:rsid w:val="004B4835"/>
    <w:rsid w:val="004B4A0B"/>
    <w:rsid w:val="004B4F4E"/>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F4F"/>
    <w:rsid w:val="004C411A"/>
    <w:rsid w:val="004C4A66"/>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30F2"/>
    <w:rsid w:val="004E334F"/>
    <w:rsid w:val="004E35A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5BB"/>
    <w:rsid w:val="00522DE3"/>
    <w:rsid w:val="00524265"/>
    <w:rsid w:val="005249CD"/>
    <w:rsid w:val="00524B9F"/>
    <w:rsid w:val="0052708A"/>
    <w:rsid w:val="00527C27"/>
    <w:rsid w:val="00527FA1"/>
    <w:rsid w:val="005301C1"/>
    <w:rsid w:val="005301FD"/>
    <w:rsid w:val="00530486"/>
    <w:rsid w:val="00530F1B"/>
    <w:rsid w:val="00531A5A"/>
    <w:rsid w:val="00532A2E"/>
    <w:rsid w:val="00532D05"/>
    <w:rsid w:val="00532EBB"/>
    <w:rsid w:val="00533380"/>
    <w:rsid w:val="005334B7"/>
    <w:rsid w:val="00533D95"/>
    <w:rsid w:val="005348E2"/>
    <w:rsid w:val="00535BBC"/>
    <w:rsid w:val="00536B16"/>
    <w:rsid w:val="005371DB"/>
    <w:rsid w:val="00537367"/>
    <w:rsid w:val="005376E7"/>
    <w:rsid w:val="0054095E"/>
    <w:rsid w:val="00541803"/>
    <w:rsid w:val="00541D87"/>
    <w:rsid w:val="00542414"/>
    <w:rsid w:val="005424E1"/>
    <w:rsid w:val="005438E7"/>
    <w:rsid w:val="00543BE7"/>
    <w:rsid w:val="00543CDF"/>
    <w:rsid w:val="00544387"/>
    <w:rsid w:val="005444EE"/>
    <w:rsid w:val="00544639"/>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950"/>
    <w:rsid w:val="00560B9A"/>
    <w:rsid w:val="005612D7"/>
    <w:rsid w:val="00561329"/>
    <w:rsid w:val="00561367"/>
    <w:rsid w:val="00561CB1"/>
    <w:rsid w:val="0056260D"/>
    <w:rsid w:val="0056316F"/>
    <w:rsid w:val="00564FFB"/>
    <w:rsid w:val="00565228"/>
    <w:rsid w:val="00565E44"/>
    <w:rsid w:val="00566030"/>
    <w:rsid w:val="00566366"/>
    <w:rsid w:val="005666C1"/>
    <w:rsid w:val="00566908"/>
    <w:rsid w:val="005677A5"/>
    <w:rsid w:val="005706F1"/>
    <w:rsid w:val="00570889"/>
    <w:rsid w:val="00571770"/>
    <w:rsid w:val="00571C7A"/>
    <w:rsid w:val="00572011"/>
    <w:rsid w:val="00573508"/>
    <w:rsid w:val="00573F11"/>
    <w:rsid w:val="00574547"/>
    <w:rsid w:val="005752B5"/>
    <w:rsid w:val="005759AA"/>
    <w:rsid w:val="00576155"/>
    <w:rsid w:val="0057615B"/>
    <w:rsid w:val="00576AEA"/>
    <w:rsid w:val="00576D31"/>
    <w:rsid w:val="00576FCC"/>
    <w:rsid w:val="00577CCC"/>
    <w:rsid w:val="00580059"/>
    <w:rsid w:val="005800EE"/>
    <w:rsid w:val="005802DA"/>
    <w:rsid w:val="00580ADA"/>
    <w:rsid w:val="00580E27"/>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7FF"/>
    <w:rsid w:val="005A2ED5"/>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C"/>
    <w:rsid w:val="005D2386"/>
    <w:rsid w:val="005D37D0"/>
    <w:rsid w:val="005D37D2"/>
    <w:rsid w:val="005D39ED"/>
    <w:rsid w:val="005D4F61"/>
    <w:rsid w:val="005D50FC"/>
    <w:rsid w:val="005D653F"/>
    <w:rsid w:val="005D7DB1"/>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2FFE"/>
    <w:rsid w:val="005F3211"/>
    <w:rsid w:val="005F3F77"/>
    <w:rsid w:val="005F43F9"/>
    <w:rsid w:val="005F4D03"/>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26C0"/>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F83"/>
    <w:rsid w:val="006452B7"/>
    <w:rsid w:val="006453AD"/>
    <w:rsid w:val="00645E0E"/>
    <w:rsid w:val="00647EC6"/>
    <w:rsid w:val="006503E6"/>
    <w:rsid w:val="006511E8"/>
    <w:rsid w:val="00651D16"/>
    <w:rsid w:val="006521E2"/>
    <w:rsid w:val="00652295"/>
    <w:rsid w:val="006539DC"/>
    <w:rsid w:val="00653FF1"/>
    <w:rsid w:val="006542ED"/>
    <w:rsid w:val="00654909"/>
    <w:rsid w:val="00654A9F"/>
    <w:rsid w:val="00655031"/>
    <w:rsid w:val="00656016"/>
    <w:rsid w:val="006567E6"/>
    <w:rsid w:val="0065765C"/>
    <w:rsid w:val="006579DF"/>
    <w:rsid w:val="00660C35"/>
    <w:rsid w:val="006618EE"/>
    <w:rsid w:val="00663BE1"/>
    <w:rsid w:val="006640F1"/>
    <w:rsid w:val="006641AD"/>
    <w:rsid w:val="006647AE"/>
    <w:rsid w:val="00664CFC"/>
    <w:rsid w:val="00664EF4"/>
    <w:rsid w:val="006659F1"/>
    <w:rsid w:val="00665B56"/>
    <w:rsid w:val="0066616A"/>
    <w:rsid w:val="00666DD9"/>
    <w:rsid w:val="00667C4F"/>
    <w:rsid w:val="00671508"/>
    <w:rsid w:val="00671937"/>
    <w:rsid w:val="00671E0B"/>
    <w:rsid w:val="006727D1"/>
    <w:rsid w:val="0067355F"/>
    <w:rsid w:val="00673AAC"/>
    <w:rsid w:val="00673B14"/>
    <w:rsid w:val="00673B6F"/>
    <w:rsid w:val="0067561B"/>
    <w:rsid w:val="00675C23"/>
    <w:rsid w:val="00675E96"/>
    <w:rsid w:val="00677A64"/>
    <w:rsid w:val="00677E7D"/>
    <w:rsid w:val="0068052C"/>
    <w:rsid w:val="00680934"/>
    <w:rsid w:val="00680BA0"/>
    <w:rsid w:val="006810CC"/>
    <w:rsid w:val="00681267"/>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1747"/>
    <w:rsid w:val="006A19E7"/>
    <w:rsid w:val="006A23B7"/>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229"/>
    <w:rsid w:val="006B4B3F"/>
    <w:rsid w:val="006B537F"/>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554F"/>
    <w:rsid w:val="006F5BAD"/>
    <w:rsid w:val="006F5C74"/>
    <w:rsid w:val="006F6057"/>
    <w:rsid w:val="006F71C3"/>
    <w:rsid w:val="006F7594"/>
    <w:rsid w:val="006F7A85"/>
    <w:rsid w:val="006F7E26"/>
    <w:rsid w:val="00700BAD"/>
    <w:rsid w:val="00700C89"/>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6150"/>
    <w:rsid w:val="00716285"/>
    <w:rsid w:val="007166F4"/>
    <w:rsid w:val="0071672F"/>
    <w:rsid w:val="0071737A"/>
    <w:rsid w:val="0071760E"/>
    <w:rsid w:val="00720B4C"/>
    <w:rsid w:val="00721786"/>
    <w:rsid w:val="00721DC3"/>
    <w:rsid w:val="00721EE7"/>
    <w:rsid w:val="00721F17"/>
    <w:rsid w:val="0072205D"/>
    <w:rsid w:val="007223BC"/>
    <w:rsid w:val="00722942"/>
    <w:rsid w:val="00722A7B"/>
    <w:rsid w:val="00722C84"/>
    <w:rsid w:val="00723476"/>
    <w:rsid w:val="00724612"/>
    <w:rsid w:val="00725273"/>
    <w:rsid w:val="0072534A"/>
    <w:rsid w:val="007257F0"/>
    <w:rsid w:val="007258EA"/>
    <w:rsid w:val="0072615C"/>
    <w:rsid w:val="007265B5"/>
    <w:rsid w:val="0072698A"/>
    <w:rsid w:val="00726A58"/>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5549"/>
    <w:rsid w:val="0074635C"/>
    <w:rsid w:val="00746FA8"/>
    <w:rsid w:val="00747885"/>
    <w:rsid w:val="00750234"/>
    <w:rsid w:val="007505E9"/>
    <w:rsid w:val="00750DD0"/>
    <w:rsid w:val="00750FC3"/>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2773"/>
    <w:rsid w:val="0076385A"/>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897"/>
    <w:rsid w:val="007809C0"/>
    <w:rsid w:val="00781A6B"/>
    <w:rsid w:val="00781ED7"/>
    <w:rsid w:val="00782415"/>
    <w:rsid w:val="0078243F"/>
    <w:rsid w:val="0078259F"/>
    <w:rsid w:val="00782D8A"/>
    <w:rsid w:val="00783B5F"/>
    <w:rsid w:val="00783D25"/>
    <w:rsid w:val="00783EDA"/>
    <w:rsid w:val="00783F6B"/>
    <w:rsid w:val="007869D4"/>
    <w:rsid w:val="00786B8E"/>
    <w:rsid w:val="00787357"/>
    <w:rsid w:val="00787482"/>
    <w:rsid w:val="00787612"/>
    <w:rsid w:val="00787D20"/>
    <w:rsid w:val="00787D86"/>
    <w:rsid w:val="00790692"/>
    <w:rsid w:val="00791065"/>
    <w:rsid w:val="00793067"/>
    <w:rsid w:val="0079323E"/>
    <w:rsid w:val="00793CC9"/>
    <w:rsid w:val="00794AE6"/>
    <w:rsid w:val="00794F9A"/>
    <w:rsid w:val="00796820"/>
    <w:rsid w:val="00796C6A"/>
    <w:rsid w:val="00796E4B"/>
    <w:rsid w:val="0079739A"/>
    <w:rsid w:val="007A2110"/>
    <w:rsid w:val="007A27CD"/>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23CE"/>
    <w:rsid w:val="007D2C53"/>
    <w:rsid w:val="007D2F61"/>
    <w:rsid w:val="007D30BA"/>
    <w:rsid w:val="007D367D"/>
    <w:rsid w:val="007D59D8"/>
    <w:rsid w:val="007D5C55"/>
    <w:rsid w:val="007D631C"/>
    <w:rsid w:val="007D73E8"/>
    <w:rsid w:val="007E0242"/>
    <w:rsid w:val="007E0E6D"/>
    <w:rsid w:val="007E1828"/>
    <w:rsid w:val="007E21E4"/>
    <w:rsid w:val="007E2732"/>
    <w:rsid w:val="007E2CD2"/>
    <w:rsid w:val="007E2F81"/>
    <w:rsid w:val="007E312D"/>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7747"/>
    <w:rsid w:val="00800745"/>
    <w:rsid w:val="0080075A"/>
    <w:rsid w:val="0080082D"/>
    <w:rsid w:val="00800CC9"/>
    <w:rsid w:val="00802157"/>
    <w:rsid w:val="008038E4"/>
    <w:rsid w:val="00804C22"/>
    <w:rsid w:val="00806936"/>
    <w:rsid w:val="008073CD"/>
    <w:rsid w:val="0081063A"/>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33F4"/>
    <w:rsid w:val="00823C2F"/>
    <w:rsid w:val="008242E0"/>
    <w:rsid w:val="00824E95"/>
    <w:rsid w:val="0082594F"/>
    <w:rsid w:val="00825ACE"/>
    <w:rsid w:val="00825D28"/>
    <w:rsid w:val="00825DE7"/>
    <w:rsid w:val="008265EE"/>
    <w:rsid w:val="00826602"/>
    <w:rsid w:val="00826671"/>
    <w:rsid w:val="00826776"/>
    <w:rsid w:val="008268E7"/>
    <w:rsid w:val="00826C5C"/>
    <w:rsid w:val="00827BFC"/>
    <w:rsid w:val="00830107"/>
    <w:rsid w:val="00831B19"/>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23F"/>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41F"/>
    <w:rsid w:val="0086077D"/>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7D"/>
    <w:rsid w:val="00866CFE"/>
    <w:rsid w:val="008672E5"/>
    <w:rsid w:val="00867AE1"/>
    <w:rsid w:val="008702DF"/>
    <w:rsid w:val="00870339"/>
    <w:rsid w:val="008703B2"/>
    <w:rsid w:val="00870FCE"/>
    <w:rsid w:val="0087265A"/>
    <w:rsid w:val="00874ADE"/>
    <w:rsid w:val="00875F96"/>
    <w:rsid w:val="00876FDB"/>
    <w:rsid w:val="008770DD"/>
    <w:rsid w:val="008773AC"/>
    <w:rsid w:val="00880F78"/>
    <w:rsid w:val="00881AE3"/>
    <w:rsid w:val="00881F80"/>
    <w:rsid w:val="0088243C"/>
    <w:rsid w:val="0088328C"/>
    <w:rsid w:val="00883664"/>
    <w:rsid w:val="0088394E"/>
    <w:rsid w:val="00883B70"/>
    <w:rsid w:val="0088437B"/>
    <w:rsid w:val="00884FE5"/>
    <w:rsid w:val="00885975"/>
    <w:rsid w:val="0088598B"/>
    <w:rsid w:val="00885D82"/>
    <w:rsid w:val="00886D7E"/>
    <w:rsid w:val="00886EFD"/>
    <w:rsid w:val="00886F76"/>
    <w:rsid w:val="00887656"/>
    <w:rsid w:val="00887EA8"/>
    <w:rsid w:val="00887EE5"/>
    <w:rsid w:val="00891C3F"/>
    <w:rsid w:val="00891DB9"/>
    <w:rsid w:val="00892106"/>
    <w:rsid w:val="00893336"/>
    <w:rsid w:val="00893A69"/>
    <w:rsid w:val="008941EB"/>
    <w:rsid w:val="00894A64"/>
    <w:rsid w:val="00894D9D"/>
    <w:rsid w:val="00894F09"/>
    <w:rsid w:val="00894FDA"/>
    <w:rsid w:val="00895CA8"/>
    <w:rsid w:val="008973BE"/>
    <w:rsid w:val="008A00A1"/>
    <w:rsid w:val="008A0772"/>
    <w:rsid w:val="008A15D4"/>
    <w:rsid w:val="008A2398"/>
    <w:rsid w:val="008A35D0"/>
    <w:rsid w:val="008A3BED"/>
    <w:rsid w:val="008A3D40"/>
    <w:rsid w:val="008A3EF3"/>
    <w:rsid w:val="008A5592"/>
    <w:rsid w:val="008A5A97"/>
    <w:rsid w:val="008A63C8"/>
    <w:rsid w:val="008A663D"/>
    <w:rsid w:val="008A6804"/>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0477"/>
    <w:rsid w:val="008C105F"/>
    <w:rsid w:val="008C113C"/>
    <w:rsid w:val="008C172A"/>
    <w:rsid w:val="008C17D7"/>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142"/>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2EF3"/>
    <w:rsid w:val="00913136"/>
    <w:rsid w:val="00913417"/>
    <w:rsid w:val="00913977"/>
    <w:rsid w:val="00914AB7"/>
    <w:rsid w:val="009151E0"/>
    <w:rsid w:val="00916326"/>
    <w:rsid w:val="009205CB"/>
    <w:rsid w:val="00920818"/>
    <w:rsid w:val="00920F16"/>
    <w:rsid w:val="009217B8"/>
    <w:rsid w:val="00922501"/>
    <w:rsid w:val="00922507"/>
    <w:rsid w:val="009231BF"/>
    <w:rsid w:val="0092400C"/>
    <w:rsid w:val="009240EA"/>
    <w:rsid w:val="009242F6"/>
    <w:rsid w:val="009244A2"/>
    <w:rsid w:val="00924A34"/>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0D64"/>
    <w:rsid w:val="00951006"/>
    <w:rsid w:val="009513AA"/>
    <w:rsid w:val="009515BA"/>
    <w:rsid w:val="00951D1D"/>
    <w:rsid w:val="009531D8"/>
    <w:rsid w:val="00953644"/>
    <w:rsid w:val="00953D5E"/>
    <w:rsid w:val="00954949"/>
    <w:rsid w:val="0095496A"/>
    <w:rsid w:val="009554BF"/>
    <w:rsid w:val="00955B71"/>
    <w:rsid w:val="00955C06"/>
    <w:rsid w:val="00956965"/>
    <w:rsid w:val="00956CC7"/>
    <w:rsid w:val="00956F66"/>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1157"/>
    <w:rsid w:val="009715FA"/>
    <w:rsid w:val="00971EE2"/>
    <w:rsid w:val="00972182"/>
    <w:rsid w:val="00972601"/>
    <w:rsid w:val="00973973"/>
    <w:rsid w:val="00974276"/>
    <w:rsid w:val="00974325"/>
    <w:rsid w:val="00974974"/>
    <w:rsid w:val="00974CBC"/>
    <w:rsid w:val="00974E3E"/>
    <w:rsid w:val="009753A3"/>
    <w:rsid w:val="009763C6"/>
    <w:rsid w:val="009767CC"/>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0B6"/>
    <w:rsid w:val="009A2481"/>
    <w:rsid w:val="009A2EC3"/>
    <w:rsid w:val="009A313C"/>
    <w:rsid w:val="009A314A"/>
    <w:rsid w:val="009A4A7D"/>
    <w:rsid w:val="009A4B3C"/>
    <w:rsid w:val="009A4EC7"/>
    <w:rsid w:val="009A520A"/>
    <w:rsid w:val="009A55EA"/>
    <w:rsid w:val="009A71C0"/>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426C"/>
    <w:rsid w:val="009D4466"/>
    <w:rsid w:val="009D56B1"/>
    <w:rsid w:val="009D5830"/>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3481"/>
    <w:rsid w:val="00A24DE3"/>
    <w:rsid w:val="00A25AC6"/>
    <w:rsid w:val="00A26247"/>
    <w:rsid w:val="00A26A74"/>
    <w:rsid w:val="00A27468"/>
    <w:rsid w:val="00A315D2"/>
    <w:rsid w:val="00A31E83"/>
    <w:rsid w:val="00A325A8"/>
    <w:rsid w:val="00A327F4"/>
    <w:rsid w:val="00A3291C"/>
    <w:rsid w:val="00A34C36"/>
    <w:rsid w:val="00A34D95"/>
    <w:rsid w:val="00A35CE0"/>
    <w:rsid w:val="00A405EF"/>
    <w:rsid w:val="00A410FF"/>
    <w:rsid w:val="00A4165D"/>
    <w:rsid w:val="00A41F28"/>
    <w:rsid w:val="00A4251F"/>
    <w:rsid w:val="00A42658"/>
    <w:rsid w:val="00A42EF4"/>
    <w:rsid w:val="00A4397E"/>
    <w:rsid w:val="00A45105"/>
    <w:rsid w:val="00A45834"/>
    <w:rsid w:val="00A4640B"/>
    <w:rsid w:val="00A4640E"/>
    <w:rsid w:val="00A50A57"/>
    <w:rsid w:val="00A50C7F"/>
    <w:rsid w:val="00A50CC6"/>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9C6"/>
    <w:rsid w:val="00A63E15"/>
    <w:rsid w:val="00A65062"/>
    <w:rsid w:val="00A652CE"/>
    <w:rsid w:val="00A66C87"/>
    <w:rsid w:val="00A66DCD"/>
    <w:rsid w:val="00A67A48"/>
    <w:rsid w:val="00A67C9F"/>
    <w:rsid w:val="00A701CE"/>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962"/>
    <w:rsid w:val="00A8245B"/>
    <w:rsid w:val="00A84192"/>
    <w:rsid w:val="00A8426D"/>
    <w:rsid w:val="00A847D8"/>
    <w:rsid w:val="00A84B6B"/>
    <w:rsid w:val="00A85074"/>
    <w:rsid w:val="00A87C91"/>
    <w:rsid w:val="00A87C95"/>
    <w:rsid w:val="00A90B0D"/>
    <w:rsid w:val="00A90B5E"/>
    <w:rsid w:val="00A91BE8"/>
    <w:rsid w:val="00A91F95"/>
    <w:rsid w:val="00A920A3"/>
    <w:rsid w:val="00A920DA"/>
    <w:rsid w:val="00A921A7"/>
    <w:rsid w:val="00A92788"/>
    <w:rsid w:val="00A93099"/>
    <w:rsid w:val="00A93282"/>
    <w:rsid w:val="00A93372"/>
    <w:rsid w:val="00A936A0"/>
    <w:rsid w:val="00A9396B"/>
    <w:rsid w:val="00A939E5"/>
    <w:rsid w:val="00A93DB4"/>
    <w:rsid w:val="00A94862"/>
    <w:rsid w:val="00A94F95"/>
    <w:rsid w:val="00A9510C"/>
    <w:rsid w:val="00A95430"/>
    <w:rsid w:val="00A96348"/>
    <w:rsid w:val="00A96588"/>
    <w:rsid w:val="00A96727"/>
    <w:rsid w:val="00A97A13"/>
    <w:rsid w:val="00A97EE7"/>
    <w:rsid w:val="00A97F03"/>
    <w:rsid w:val="00AA138C"/>
    <w:rsid w:val="00AA1842"/>
    <w:rsid w:val="00AA1BB3"/>
    <w:rsid w:val="00AA35A8"/>
    <w:rsid w:val="00AA38FF"/>
    <w:rsid w:val="00AA421E"/>
    <w:rsid w:val="00AA42DD"/>
    <w:rsid w:val="00AA4C83"/>
    <w:rsid w:val="00AA51D1"/>
    <w:rsid w:val="00AA59A3"/>
    <w:rsid w:val="00AA6716"/>
    <w:rsid w:val="00AB057B"/>
    <w:rsid w:val="00AB081A"/>
    <w:rsid w:val="00AB1146"/>
    <w:rsid w:val="00AB161E"/>
    <w:rsid w:val="00AB1623"/>
    <w:rsid w:val="00AB1BEA"/>
    <w:rsid w:val="00AB1E3D"/>
    <w:rsid w:val="00AB260D"/>
    <w:rsid w:val="00AB2F48"/>
    <w:rsid w:val="00AB41E8"/>
    <w:rsid w:val="00AB45FB"/>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610D"/>
    <w:rsid w:val="00AC6586"/>
    <w:rsid w:val="00AC6C84"/>
    <w:rsid w:val="00AC72CE"/>
    <w:rsid w:val="00AD023D"/>
    <w:rsid w:val="00AD0EB2"/>
    <w:rsid w:val="00AD1524"/>
    <w:rsid w:val="00AD167D"/>
    <w:rsid w:val="00AD247D"/>
    <w:rsid w:val="00AD2549"/>
    <w:rsid w:val="00AD2982"/>
    <w:rsid w:val="00AD2F5A"/>
    <w:rsid w:val="00AD4343"/>
    <w:rsid w:val="00AD59D0"/>
    <w:rsid w:val="00AD5CD1"/>
    <w:rsid w:val="00AD5EB1"/>
    <w:rsid w:val="00AD65C2"/>
    <w:rsid w:val="00AD6792"/>
    <w:rsid w:val="00AD6ED1"/>
    <w:rsid w:val="00AD79A3"/>
    <w:rsid w:val="00AD7A24"/>
    <w:rsid w:val="00AD7CB7"/>
    <w:rsid w:val="00AE03F1"/>
    <w:rsid w:val="00AE2286"/>
    <w:rsid w:val="00AE245B"/>
    <w:rsid w:val="00AE3075"/>
    <w:rsid w:val="00AE3243"/>
    <w:rsid w:val="00AE32E0"/>
    <w:rsid w:val="00AE3535"/>
    <w:rsid w:val="00AE3802"/>
    <w:rsid w:val="00AE4146"/>
    <w:rsid w:val="00AE5479"/>
    <w:rsid w:val="00AE5C53"/>
    <w:rsid w:val="00AE5DE9"/>
    <w:rsid w:val="00AE68A4"/>
    <w:rsid w:val="00AE772B"/>
    <w:rsid w:val="00AE773C"/>
    <w:rsid w:val="00AF00AD"/>
    <w:rsid w:val="00AF030E"/>
    <w:rsid w:val="00AF0D20"/>
    <w:rsid w:val="00AF1F0B"/>
    <w:rsid w:val="00AF21C8"/>
    <w:rsid w:val="00AF289D"/>
    <w:rsid w:val="00AF2C1A"/>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A77"/>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CFC"/>
    <w:rsid w:val="00B2723C"/>
    <w:rsid w:val="00B27BC1"/>
    <w:rsid w:val="00B30264"/>
    <w:rsid w:val="00B32234"/>
    <w:rsid w:val="00B32930"/>
    <w:rsid w:val="00B330E9"/>
    <w:rsid w:val="00B33900"/>
    <w:rsid w:val="00B3711E"/>
    <w:rsid w:val="00B37179"/>
    <w:rsid w:val="00B374C2"/>
    <w:rsid w:val="00B3780E"/>
    <w:rsid w:val="00B41C15"/>
    <w:rsid w:val="00B448F8"/>
    <w:rsid w:val="00B4492F"/>
    <w:rsid w:val="00B459E5"/>
    <w:rsid w:val="00B46B2B"/>
    <w:rsid w:val="00B46CC3"/>
    <w:rsid w:val="00B46ECF"/>
    <w:rsid w:val="00B4707C"/>
    <w:rsid w:val="00B47F1D"/>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5A4F"/>
    <w:rsid w:val="00B661E7"/>
    <w:rsid w:val="00B6641D"/>
    <w:rsid w:val="00B66700"/>
    <w:rsid w:val="00B66AF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80423"/>
    <w:rsid w:val="00B83F40"/>
    <w:rsid w:val="00B84352"/>
    <w:rsid w:val="00B84353"/>
    <w:rsid w:val="00B84399"/>
    <w:rsid w:val="00B84A24"/>
    <w:rsid w:val="00B84EC1"/>
    <w:rsid w:val="00B85236"/>
    <w:rsid w:val="00B858D1"/>
    <w:rsid w:val="00B86D80"/>
    <w:rsid w:val="00B87464"/>
    <w:rsid w:val="00B905DB"/>
    <w:rsid w:val="00B90738"/>
    <w:rsid w:val="00B90829"/>
    <w:rsid w:val="00B90A32"/>
    <w:rsid w:val="00B9171C"/>
    <w:rsid w:val="00B91742"/>
    <w:rsid w:val="00B91DBA"/>
    <w:rsid w:val="00B91F0F"/>
    <w:rsid w:val="00B92927"/>
    <w:rsid w:val="00B92BDE"/>
    <w:rsid w:val="00B92D76"/>
    <w:rsid w:val="00B932E9"/>
    <w:rsid w:val="00B934AC"/>
    <w:rsid w:val="00B9367D"/>
    <w:rsid w:val="00B96109"/>
    <w:rsid w:val="00B96204"/>
    <w:rsid w:val="00B9629E"/>
    <w:rsid w:val="00B96F4F"/>
    <w:rsid w:val="00B97D61"/>
    <w:rsid w:val="00B97D67"/>
    <w:rsid w:val="00BA01AD"/>
    <w:rsid w:val="00BA0795"/>
    <w:rsid w:val="00BA0C99"/>
    <w:rsid w:val="00BA0F63"/>
    <w:rsid w:val="00BA1361"/>
    <w:rsid w:val="00BA29CC"/>
    <w:rsid w:val="00BA2C3A"/>
    <w:rsid w:val="00BA3704"/>
    <w:rsid w:val="00BA4A3E"/>
    <w:rsid w:val="00BA7762"/>
    <w:rsid w:val="00BB07C4"/>
    <w:rsid w:val="00BB09C5"/>
    <w:rsid w:val="00BB0FAB"/>
    <w:rsid w:val="00BB1B19"/>
    <w:rsid w:val="00BB1CCF"/>
    <w:rsid w:val="00BB2F72"/>
    <w:rsid w:val="00BB4355"/>
    <w:rsid w:val="00BB43C4"/>
    <w:rsid w:val="00BB4946"/>
    <w:rsid w:val="00BB58E3"/>
    <w:rsid w:val="00BB5D02"/>
    <w:rsid w:val="00BB6CA9"/>
    <w:rsid w:val="00BB7D48"/>
    <w:rsid w:val="00BC0AC5"/>
    <w:rsid w:val="00BC0F4D"/>
    <w:rsid w:val="00BC2C66"/>
    <w:rsid w:val="00BC3507"/>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3A7A"/>
    <w:rsid w:val="00BD4680"/>
    <w:rsid w:val="00BD4DB8"/>
    <w:rsid w:val="00BD4FC3"/>
    <w:rsid w:val="00BD557F"/>
    <w:rsid w:val="00BD5807"/>
    <w:rsid w:val="00BD618F"/>
    <w:rsid w:val="00BD66AF"/>
    <w:rsid w:val="00BD78F4"/>
    <w:rsid w:val="00BD7A6D"/>
    <w:rsid w:val="00BD7C5E"/>
    <w:rsid w:val="00BE4603"/>
    <w:rsid w:val="00BE4719"/>
    <w:rsid w:val="00BE5ED6"/>
    <w:rsid w:val="00BE65DB"/>
    <w:rsid w:val="00BE79E2"/>
    <w:rsid w:val="00BE7BEC"/>
    <w:rsid w:val="00BF02B4"/>
    <w:rsid w:val="00BF0775"/>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1C13"/>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1202"/>
    <w:rsid w:val="00C41B18"/>
    <w:rsid w:val="00C41B2C"/>
    <w:rsid w:val="00C41BD7"/>
    <w:rsid w:val="00C425B9"/>
    <w:rsid w:val="00C4284F"/>
    <w:rsid w:val="00C42BC5"/>
    <w:rsid w:val="00C42C81"/>
    <w:rsid w:val="00C42FA4"/>
    <w:rsid w:val="00C43F31"/>
    <w:rsid w:val="00C44770"/>
    <w:rsid w:val="00C44FD6"/>
    <w:rsid w:val="00C45BA1"/>
    <w:rsid w:val="00C46D09"/>
    <w:rsid w:val="00C47BE2"/>
    <w:rsid w:val="00C502C1"/>
    <w:rsid w:val="00C50BA7"/>
    <w:rsid w:val="00C51128"/>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01D"/>
    <w:rsid w:val="00C85FF0"/>
    <w:rsid w:val="00C86016"/>
    <w:rsid w:val="00C86693"/>
    <w:rsid w:val="00C86F2F"/>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4E26"/>
    <w:rsid w:val="00CA670F"/>
    <w:rsid w:val="00CA7AA7"/>
    <w:rsid w:val="00CA7AFB"/>
    <w:rsid w:val="00CB035B"/>
    <w:rsid w:val="00CB058C"/>
    <w:rsid w:val="00CB0760"/>
    <w:rsid w:val="00CB13EA"/>
    <w:rsid w:val="00CB24E0"/>
    <w:rsid w:val="00CB306C"/>
    <w:rsid w:val="00CB33F5"/>
    <w:rsid w:val="00CB34E9"/>
    <w:rsid w:val="00CB3536"/>
    <w:rsid w:val="00CB3992"/>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AC0"/>
    <w:rsid w:val="00CC498E"/>
    <w:rsid w:val="00CC5D7B"/>
    <w:rsid w:val="00CC5F40"/>
    <w:rsid w:val="00CC6455"/>
    <w:rsid w:val="00CC7802"/>
    <w:rsid w:val="00CD043F"/>
    <w:rsid w:val="00CD16A8"/>
    <w:rsid w:val="00CD1790"/>
    <w:rsid w:val="00CD17BF"/>
    <w:rsid w:val="00CD18FA"/>
    <w:rsid w:val="00CD1E22"/>
    <w:rsid w:val="00CD2C55"/>
    <w:rsid w:val="00CD2FF3"/>
    <w:rsid w:val="00CD3A46"/>
    <w:rsid w:val="00CD3AE5"/>
    <w:rsid w:val="00CD3EE8"/>
    <w:rsid w:val="00CD4608"/>
    <w:rsid w:val="00CD4A0E"/>
    <w:rsid w:val="00CD4A8B"/>
    <w:rsid w:val="00CD51C2"/>
    <w:rsid w:val="00CD5DB2"/>
    <w:rsid w:val="00CD69F3"/>
    <w:rsid w:val="00CD7BCD"/>
    <w:rsid w:val="00CE0FA7"/>
    <w:rsid w:val="00CE10DD"/>
    <w:rsid w:val="00CE14EA"/>
    <w:rsid w:val="00CE1C20"/>
    <w:rsid w:val="00CE20BC"/>
    <w:rsid w:val="00CE2F6E"/>
    <w:rsid w:val="00CE37BD"/>
    <w:rsid w:val="00CE3965"/>
    <w:rsid w:val="00CE3CE9"/>
    <w:rsid w:val="00CE3D7C"/>
    <w:rsid w:val="00CE4615"/>
    <w:rsid w:val="00CE4711"/>
    <w:rsid w:val="00CE4723"/>
    <w:rsid w:val="00CE5C5E"/>
    <w:rsid w:val="00CE6007"/>
    <w:rsid w:val="00CF16B8"/>
    <w:rsid w:val="00CF26C2"/>
    <w:rsid w:val="00CF286E"/>
    <w:rsid w:val="00CF3949"/>
    <w:rsid w:val="00CF46A7"/>
    <w:rsid w:val="00CF47C3"/>
    <w:rsid w:val="00CF4AFA"/>
    <w:rsid w:val="00CF60AE"/>
    <w:rsid w:val="00CF6A22"/>
    <w:rsid w:val="00D00FDC"/>
    <w:rsid w:val="00D01C10"/>
    <w:rsid w:val="00D01E97"/>
    <w:rsid w:val="00D02332"/>
    <w:rsid w:val="00D02A9C"/>
    <w:rsid w:val="00D02BE0"/>
    <w:rsid w:val="00D0307D"/>
    <w:rsid w:val="00D030A2"/>
    <w:rsid w:val="00D051E8"/>
    <w:rsid w:val="00D0592F"/>
    <w:rsid w:val="00D05C33"/>
    <w:rsid w:val="00D061DB"/>
    <w:rsid w:val="00D0756B"/>
    <w:rsid w:val="00D10D5D"/>
    <w:rsid w:val="00D11005"/>
    <w:rsid w:val="00D11EEC"/>
    <w:rsid w:val="00D13497"/>
    <w:rsid w:val="00D1379B"/>
    <w:rsid w:val="00D13956"/>
    <w:rsid w:val="00D13BD6"/>
    <w:rsid w:val="00D13F17"/>
    <w:rsid w:val="00D14008"/>
    <w:rsid w:val="00D14A8E"/>
    <w:rsid w:val="00D176A5"/>
    <w:rsid w:val="00D176C8"/>
    <w:rsid w:val="00D17D3E"/>
    <w:rsid w:val="00D206F5"/>
    <w:rsid w:val="00D20BC3"/>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D4"/>
    <w:rsid w:val="00D32D9C"/>
    <w:rsid w:val="00D32DAB"/>
    <w:rsid w:val="00D34073"/>
    <w:rsid w:val="00D35D7B"/>
    <w:rsid w:val="00D36601"/>
    <w:rsid w:val="00D36C50"/>
    <w:rsid w:val="00D37178"/>
    <w:rsid w:val="00D374FD"/>
    <w:rsid w:val="00D409C8"/>
    <w:rsid w:val="00D40FFB"/>
    <w:rsid w:val="00D4160F"/>
    <w:rsid w:val="00D41847"/>
    <w:rsid w:val="00D41F4A"/>
    <w:rsid w:val="00D428D1"/>
    <w:rsid w:val="00D42C14"/>
    <w:rsid w:val="00D42C6B"/>
    <w:rsid w:val="00D44928"/>
    <w:rsid w:val="00D44D14"/>
    <w:rsid w:val="00D44D63"/>
    <w:rsid w:val="00D44FEF"/>
    <w:rsid w:val="00D45635"/>
    <w:rsid w:val="00D470E4"/>
    <w:rsid w:val="00D4746B"/>
    <w:rsid w:val="00D47A15"/>
    <w:rsid w:val="00D50C6A"/>
    <w:rsid w:val="00D50F2C"/>
    <w:rsid w:val="00D5153E"/>
    <w:rsid w:val="00D519F0"/>
    <w:rsid w:val="00D51ACB"/>
    <w:rsid w:val="00D51F19"/>
    <w:rsid w:val="00D52027"/>
    <w:rsid w:val="00D526BC"/>
    <w:rsid w:val="00D52788"/>
    <w:rsid w:val="00D52DBF"/>
    <w:rsid w:val="00D532AA"/>
    <w:rsid w:val="00D538EC"/>
    <w:rsid w:val="00D53AA6"/>
    <w:rsid w:val="00D548B8"/>
    <w:rsid w:val="00D552B5"/>
    <w:rsid w:val="00D55DC3"/>
    <w:rsid w:val="00D567EC"/>
    <w:rsid w:val="00D568D7"/>
    <w:rsid w:val="00D56D52"/>
    <w:rsid w:val="00D56F3C"/>
    <w:rsid w:val="00D57A9E"/>
    <w:rsid w:val="00D602FD"/>
    <w:rsid w:val="00D60620"/>
    <w:rsid w:val="00D60883"/>
    <w:rsid w:val="00D61130"/>
    <w:rsid w:val="00D61967"/>
    <w:rsid w:val="00D62E19"/>
    <w:rsid w:val="00D6497A"/>
    <w:rsid w:val="00D6506A"/>
    <w:rsid w:val="00D67384"/>
    <w:rsid w:val="00D678DB"/>
    <w:rsid w:val="00D70D03"/>
    <w:rsid w:val="00D710FE"/>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5E8"/>
    <w:rsid w:val="00D85805"/>
    <w:rsid w:val="00D8771C"/>
    <w:rsid w:val="00D87C85"/>
    <w:rsid w:val="00D9009E"/>
    <w:rsid w:val="00D902B6"/>
    <w:rsid w:val="00D902F6"/>
    <w:rsid w:val="00D90682"/>
    <w:rsid w:val="00D9177C"/>
    <w:rsid w:val="00D9181F"/>
    <w:rsid w:val="00D91AEC"/>
    <w:rsid w:val="00D91E81"/>
    <w:rsid w:val="00D92631"/>
    <w:rsid w:val="00D933BD"/>
    <w:rsid w:val="00D93995"/>
    <w:rsid w:val="00D93D22"/>
    <w:rsid w:val="00D948E9"/>
    <w:rsid w:val="00D94C4A"/>
    <w:rsid w:val="00D954EB"/>
    <w:rsid w:val="00D95F9D"/>
    <w:rsid w:val="00D96242"/>
    <w:rsid w:val="00D96A81"/>
    <w:rsid w:val="00D96AEE"/>
    <w:rsid w:val="00DA06B7"/>
    <w:rsid w:val="00DA0EE7"/>
    <w:rsid w:val="00DA187A"/>
    <w:rsid w:val="00DA1A13"/>
    <w:rsid w:val="00DA3163"/>
    <w:rsid w:val="00DA3196"/>
    <w:rsid w:val="00DA3A37"/>
    <w:rsid w:val="00DA3B3E"/>
    <w:rsid w:val="00DA4306"/>
    <w:rsid w:val="00DA5D9C"/>
    <w:rsid w:val="00DA5DCB"/>
    <w:rsid w:val="00DA5F6E"/>
    <w:rsid w:val="00DA5F97"/>
    <w:rsid w:val="00DA6C32"/>
    <w:rsid w:val="00DA6DA8"/>
    <w:rsid w:val="00DA72A9"/>
    <w:rsid w:val="00DA73CC"/>
    <w:rsid w:val="00DB0F01"/>
    <w:rsid w:val="00DB140D"/>
    <w:rsid w:val="00DB1E86"/>
    <w:rsid w:val="00DB2BC8"/>
    <w:rsid w:val="00DB4D64"/>
    <w:rsid w:val="00DB5665"/>
    <w:rsid w:val="00DB6403"/>
    <w:rsid w:val="00DB701E"/>
    <w:rsid w:val="00DB7CF2"/>
    <w:rsid w:val="00DC0723"/>
    <w:rsid w:val="00DC15CE"/>
    <w:rsid w:val="00DC1C95"/>
    <w:rsid w:val="00DC2382"/>
    <w:rsid w:val="00DC2ABD"/>
    <w:rsid w:val="00DC2DC0"/>
    <w:rsid w:val="00DC2F66"/>
    <w:rsid w:val="00DC3B37"/>
    <w:rsid w:val="00DC4D4A"/>
    <w:rsid w:val="00DC50A2"/>
    <w:rsid w:val="00DC587B"/>
    <w:rsid w:val="00DC5ED2"/>
    <w:rsid w:val="00DC6EC2"/>
    <w:rsid w:val="00DD046B"/>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213A"/>
    <w:rsid w:val="00E1254D"/>
    <w:rsid w:val="00E12A96"/>
    <w:rsid w:val="00E13622"/>
    <w:rsid w:val="00E13787"/>
    <w:rsid w:val="00E13A27"/>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6137"/>
    <w:rsid w:val="00E26ABE"/>
    <w:rsid w:val="00E26C39"/>
    <w:rsid w:val="00E27095"/>
    <w:rsid w:val="00E273E0"/>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6EA4"/>
    <w:rsid w:val="00E6732B"/>
    <w:rsid w:val="00E67BEC"/>
    <w:rsid w:val="00E70328"/>
    <w:rsid w:val="00E71213"/>
    <w:rsid w:val="00E71C48"/>
    <w:rsid w:val="00E7214F"/>
    <w:rsid w:val="00E7269D"/>
    <w:rsid w:val="00E72F1B"/>
    <w:rsid w:val="00E7430D"/>
    <w:rsid w:val="00E74777"/>
    <w:rsid w:val="00E74BFE"/>
    <w:rsid w:val="00E75EB4"/>
    <w:rsid w:val="00E7669C"/>
    <w:rsid w:val="00E7721D"/>
    <w:rsid w:val="00E77AAF"/>
    <w:rsid w:val="00E77C21"/>
    <w:rsid w:val="00E80F1D"/>
    <w:rsid w:val="00E81B38"/>
    <w:rsid w:val="00E82E21"/>
    <w:rsid w:val="00E83059"/>
    <w:rsid w:val="00E83754"/>
    <w:rsid w:val="00E83897"/>
    <w:rsid w:val="00E83A0D"/>
    <w:rsid w:val="00E83BF7"/>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464"/>
    <w:rsid w:val="00E9464A"/>
    <w:rsid w:val="00E9465F"/>
    <w:rsid w:val="00E949DA"/>
    <w:rsid w:val="00E95F35"/>
    <w:rsid w:val="00E961A7"/>
    <w:rsid w:val="00E961AE"/>
    <w:rsid w:val="00E96D94"/>
    <w:rsid w:val="00E96EE1"/>
    <w:rsid w:val="00E97663"/>
    <w:rsid w:val="00E97D4F"/>
    <w:rsid w:val="00EA02B7"/>
    <w:rsid w:val="00EA0DDF"/>
    <w:rsid w:val="00EA1A22"/>
    <w:rsid w:val="00EA1F91"/>
    <w:rsid w:val="00EA26D0"/>
    <w:rsid w:val="00EA2B88"/>
    <w:rsid w:val="00EA2C5F"/>
    <w:rsid w:val="00EA342B"/>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1E99"/>
    <w:rsid w:val="00ED2620"/>
    <w:rsid w:val="00ED2D5A"/>
    <w:rsid w:val="00ED35B9"/>
    <w:rsid w:val="00ED3743"/>
    <w:rsid w:val="00ED3AB2"/>
    <w:rsid w:val="00ED3C0C"/>
    <w:rsid w:val="00ED3E30"/>
    <w:rsid w:val="00ED4E54"/>
    <w:rsid w:val="00ED55C2"/>
    <w:rsid w:val="00ED6C2F"/>
    <w:rsid w:val="00ED7375"/>
    <w:rsid w:val="00ED7604"/>
    <w:rsid w:val="00ED7BC8"/>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4156"/>
    <w:rsid w:val="00F04A98"/>
    <w:rsid w:val="00F04BF5"/>
    <w:rsid w:val="00F0560F"/>
    <w:rsid w:val="00F058E1"/>
    <w:rsid w:val="00F07ED0"/>
    <w:rsid w:val="00F07F02"/>
    <w:rsid w:val="00F10057"/>
    <w:rsid w:val="00F11FC9"/>
    <w:rsid w:val="00F125BF"/>
    <w:rsid w:val="00F12C92"/>
    <w:rsid w:val="00F13749"/>
    <w:rsid w:val="00F13980"/>
    <w:rsid w:val="00F13C4F"/>
    <w:rsid w:val="00F13D5E"/>
    <w:rsid w:val="00F13E39"/>
    <w:rsid w:val="00F145F0"/>
    <w:rsid w:val="00F14CE9"/>
    <w:rsid w:val="00F15937"/>
    <w:rsid w:val="00F15C72"/>
    <w:rsid w:val="00F16040"/>
    <w:rsid w:val="00F163D0"/>
    <w:rsid w:val="00F1679A"/>
    <w:rsid w:val="00F16A18"/>
    <w:rsid w:val="00F16DDD"/>
    <w:rsid w:val="00F17BE0"/>
    <w:rsid w:val="00F20652"/>
    <w:rsid w:val="00F207EE"/>
    <w:rsid w:val="00F20FAE"/>
    <w:rsid w:val="00F21233"/>
    <w:rsid w:val="00F21C98"/>
    <w:rsid w:val="00F220B9"/>
    <w:rsid w:val="00F2215F"/>
    <w:rsid w:val="00F222F1"/>
    <w:rsid w:val="00F22581"/>
    <w:rsid w:val="00F22B15"/>
    <w:rsid w:val="00F22F30"/>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3B09"/>
    <w:rsid w:val="00F34927"/>
    <w:rsid w:val="00F351AA"/>
    <w:rsid w:val="00F351D6"/>
    <w:rsid w:val="00F3575F"/>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3C21"/>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66EB"/>
    <w:rsid w:val="00F874E1"/>
    <w:rsid w:val="00F87A58"/>
    <w:rsid w:val="00F87D78"/>
    <w:rsid w:val="00F900C3"/>
    <w:rsid w:val="00F903CE"/>
    <w:rsid w:val="00F90C15"/>
    <w:rsid w:val="00F91D00"/>
    <w:rsid w:val="00F92007"/>
    <w:rsid w:val="00F9254C"/>
    <w:rsid w:val="00F92CA1"/>
    <w:rsid w:val="00F93509"/>
    <w:rsid w:val="00F93EB2"/>
    <w:rsid w:val="00F9415F"/>
    <w:rsid w:val="00F941C9"/>
    <w:rsid w:val="00F94629"/>
    <w:rsid w:val="00F94A3C"/>
    <w:rsid w:val="00F9516C"/>
    <w:rsid w:val="00F95CE3"/>
    <w:rsid w:val="00F9684A"/>
    <w:rsid w:val="00F973DC"/>
    <w:rsid w:val="00F97A82"/>
    <w:rsid w:val="00F97D62"/>
    <w:rsid w:val="00FA0267"/>
    <w:rsid w:val="00FA02B8"/>
    <w:rsid w:val="00FA0663"/>
    <w:rsid w:val="00FA0DFF"/>
    <w:rsid w:val="00FA15A5"/>
    <w:rsid w:val="00FA1BAA"/>
    <w:rsid w:val="00FA3A03"/>
    <w:rsid w:val="00FA74D1"/>
    <w:rsid w:val="00FA7D45"/>
    <w:rsid w:val="00FB00AD"/>
    <w:rsid w:val="00FB059F"/>
    <w:rsid w:val="00FB0876"/>
    <w:rsid w:val="00FB1A28"/>
    <w:rsid w:val="00FB25CE"/>
    <w:rsid w:val="00FB2CC2"/>
    <w:rsid w:val="00FB371D"/>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4C25"/>
    <w:rsid w:val="00FD5F3D"/>
    <w:rsid w:val="00FD72E1"/>
    <w:rsid w:val="00FE0A8D"/>
    <w:rsid w:val="00FE0EBF"/>
    <w:rsid w:val="00FE4185"/>
    <w:rsid w:val="00FE4FF5"/>
    <w:rsid w:val="00FE505C"/>
    <w:rsid w:val="00FE5B67"/>
    <w:rsid w:val="00FE5DE9"/>
    <w:rsid w:val="00FE6783"/>
    <w:rsid w:val="00FE7D8C"/>
    <w:rsid w:val="00FF0397"/>
    <w:rsid w:val="00FF0C18"/>
    <w:rsid w:val="00FF0FFA"/>
    <w:rsid w:val="00FF2720"/>
    <w:rsid w:val="00FF3926"/>
    <w:rsid w:val="00FF3A0D"/>
    <w:rsid w:val="00FF3E79"/>
    <w:rsid w:val="00FF410A"/>
    <w:rsid w:val="00FF4DF9"/>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590D8975-07DD-4423-B20C-85F7A4B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5DE7"/>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 w:type="table" w:customStyle="1" w:styleId="22">
    <w:name w:val="网格型2"/>
    <w:basedOn w:val="a2"/>
    <w:next w:val="af0"/>
    <w:qFormat/>
    <w:rsid w:val="00B934AC"/>
    <w:rPr>
      <w:rFonts w:ascii="Times New Roman" w:eastAsia="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570846686">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21181484">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499464737">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jpg@01D91167.0A524DD0"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cid:image004.png@01D91EC6.2507DB10"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cid:image009.jpg@01D91167.0A524DD0" TargetMode="External"/><Relationship Id="rId10" Type="http://schemas.openxmlformats.org/officeDocument/2006/relationships/image" Target="cid:image002.png@01D90FF0.C00E7180"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2A9039-6871-4C2A-B13A-B48AC9A6D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9</Pages>
  <Words>3581</Words>
  <Characters>20412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Huawei-Yulong</cp:lastModifiedBy>
  <cp:revision>101</cp:revision>
  <dcterms:created xsi:type="dcterms:W3CDTF">2023-01-16T02:23:00Z</dcterms:created>
  <dcterms:modified xsi:type="dcterms:W3CDTF">2023-02-15T03:44:00Z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(3)fYZGkbmlPuDFodJAXX/7+MA27VnsPoCPeZ3TmicQBxfS6LtS8+4EbTuGH9jxMi/O00QmBO2o
TrC4OKdfYQN03JM4uENKpsnRP3IhDzljSFDVr9V0B9G43hlH3sIAmP/1e0mJ8Jv7mm5JMRFJ
oNMzj9b6qoXCRTFHN8PK1ERMmBnwXgdGjdrhqVCg89pNAzJFZ8bFrtj4nF9h8DzXFyhypExB
MMNVA3+L/GXvKCUUcv</vt:lpwstr>
  </property>
  <property fmtid="{D5CDD505-2E9C-101B-9397-08002B2CF9AE}" pid="3" name="_2015_ms_pID_7253431">
    <vt:lpwstr>jqyYgJydqECOX8zU6q13hFnghvg6hree7eiLQeCA5qnaVgRzroFOE2
aqivuv3yFvzqq41kKF/bd/EHisFqoSaNKCRaXT1VkeY+3YyiLVX98FiOjJWatW9N2YUmycer
x0nJgA1JSji6MWerYtxbJz+HKE56DVcTr5T+Kbwdb2ueFlHeM0s6Zhr+F/3iZuIAQKtQj2EB
rebNVUUDXmkGea1pfak6KwewvK9U5EL5RSlE</vt:lpwstr>
  </property>
  <property fmtid="{D5CDD505-2E9C-101B-9397-08002B2CF9AE}" pid="4" name="_2015_ms_pID_7253432">
    <vt:lpwstr>yg==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1676287992</vt:lpwstr>
  </property>
</Properties>
</file>